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AthDGC: An Open Diachronic Greek Treebank with Indo-European Parallels</w:t>
      </w:r>
    </w:p>
    <w:p>
      <w:pPr>
        <w:pStyle w:val="Subtitle"/>
      </w:pPr>
      <w:r>
        <w:t xml:space="preserve">Platform launch report - GlossaContactLab Working Papers, NKUA digital edition</w:t>
      </w:r>
    </w:p>
    <w:p>
      <w:pPr>
        <w:pStyle w:val="Author"/>
      </w:pPr>
      <w:r>
        <w:t xml:space="preserve">Nikolaos Lavidas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AthDGC (</w:t>
      </w:r>
      <w:r>
        <w:t xml:space="preserve">“Athens-PROIEL”</w:t>
      </w:r>
      <w:r>
        <w:t xml:space="preserve">) is an open, end-to-end pipeline and dataset that</w:t>
      </w:r>
      <w:r>
        <w:t xml:space="preserve"> </w:t>
      </w:r>
      <w:r>
        <w:t xml:space="preserve">provides the first continuously updated, dependency-parsed treebank of the</w:t>
      </w:r>
      <w:r>
        <w:t xml:space="preserve"> </w:t>
      </w:r>
      <w:r>
        <w:t xml:space="preserve">entire Greek language - from Homeric and Archaic texts to Modern Greek -</w:t>
      </w:r>
      <w:r>
        <w:t xml:space="preserve"> </w:t>
      </w:r>
      <w:r>
        <w:t xml:space="preserve">with cross-lingual alignment to Latin (Vulgate), Gothic (Wulfila), Old Church</w:t>
      </w:r>
      <w:r>
        <w:t xml:space="preserve"> </w:t>
      </w:r>
      <w:r>
        <w:t xml:space="preserve">Slavonic (Marianus), and Classical Armenian via the verse-level</w:t>
      </w:r>
      <w:r>
        <w:t xml:space="preserve"> </w:t>
      </w:r>
      <w:r>
        <w:t xml:space="preserve">cross-alignment of the New Testament. AthDGC follows the PROIEL XML 2.0</w:t>
      </w:r>
      <w:r>
        <w:t xml:space="preserve"> </w:t>
      </w:r>
      <w:r>
        <w:t xml:space="preserve">schema, uses the Stanford Stanza PROIEL-trained pipeline for annotation, and</w:t>
      </w:r>
      <w:r>
        <w:t xml:space="preserve"> </w:t>
      </w:r>
      <w:r>
        <w:t xml:space="preserve">applies LaBSE sentence embeddings and multilingual-BERT attention for</w:t>
      </w:r>
      <w:r>
        <w:t xml:space="preserve"> </w:t>
      </w:r>
      <w:r>
        <w:t xml:space="preserve">word-level alignment. As of v0.4, the corpus contains 89.9M total rows,</w:t>
      </w:r>
      <w:r>
        <w:t xml:space="preserve"> </w:t>
      </w:r>
      <w:r>
        <w:t xml:space="preserve">4.08M annotated Greek rows, and 6,861 NT-aligned Greek verses cross-aligned</w:t>
      </w:r>
      <w:r>
        <w:t xml:space="preserve"> </w:t>
      </w:r>
      <w:r>
        <w:t xml:space="preserve">to four sister IE witnesses.</w:t>
      </w:r>
    </w:p>
    <w:bookmarkStart w:id="15" w:name="overview"/>
    <w:p>
      <w:pPr>
        <w:pStyle w:val="Heading2"/>
      </w:pPr>
      <w:r>
        <w:t xml:space="preserve">1. Overview</w:t>
      </w:r>
    </w:p>
    <w:bookmarkStart w:id="9" w:name="context-and-motivation"/>
    <w:p>
      <w:pPr>
        <w:pStyle w:val="Heading3"/>
      </w:pPr>
      <w:r>
        <w:t xml:space="preserve">1.1 Context and motivation</w:t>
      </w:r>
    </w:p>
    <w:p>
      <w:pPr>
        <w:pStyle w:val="FirstParagraph"/>
      </w:pPr>
      <w:r>
        <w:t xml:space="preserve">Greek is the longest continuously attested member of the Indo-European family. The PROIEL Treebank</w:t>
      </w:r>
      <w:r>
        <w:t xml:space="preserve"> </w:t>
      </w:r>
      <w:r>
        <w:t xml:space="preserve">(Haug and Jøhndal 2008; Eckhoff et al. 2018)</w:t>
      </w:r>
      <w:r>
        <w:t xml:space="preserve"> </w:t>
      </w:r>
      <w:r>
        <w:t xml:space="preserve">established the gold standard for syntactically annotated parallel</w:t>
      </w:r>
      <w:r>
        <w:t xml:space="preserve"> </w:t>
      </w:r>
      <w:r>
        <w:t xml:space="preserve">Indo-European Bible corpora, but its scope is restricted to the New Testament and to a small</w:t>
      </w:r>
      <w:r>
        <w:t xml:space="preserve"> </w:t>
      </w:r>
      <w:r>
        <w:t xml:space="preserve">number of language witnesses. No openly licensed, end-to-end pipeline currently covers the</w:t>
      </w:r>
      <w:r>
        <w:t xml:space="preserve"> </w:t>
      </w:r>
      <w:r>
        <w:t xml:space="preserve">full diachronic record of Greek at the same level of annotation, with explicit argument-structure</w:t>
      </w:r>
      <w:r>
        <w:t xml:space="preserve"> </w:t>
      </w:r>
      <w:r>
        <w:t xml:space="preserve">tagging, and with reproducible cross-lingual alignment to its sister IE languages. AthDGC closes</w:t>
      </w:r>
      <w:r>
        <w:t xml:space="preserve"> </w:t>
      </w:r>
      <w:r>
        <w:t xml:space="preserve">that gap.</w:t>
      </w:r>
    </w:p>
    <w:p>
      <w:pPr>
        <w:pStyle w:val="BodyText"/>
      </w:pPr>
      <w:r>
        <w:t xml:space="preserve">The project’s specific scholarly focus is</w:t>
      </w:r>
      <w:r>
        <w:t xml:space="preserve"> </w:t>
      </w:r>
      <w:r>
        <w:rPr>
          <w:i/>
          <w:iCs/>
        </w:rPr>
        <w:t xml:space="preserve">retranslation</w:t>
      </w:r>
      <w:r>
        <w:t xml:space="preserve">: the same canonical text - the Iliad,</w:t>
      </w:r>
      <w:r>
        <w:t xml:space="preserve"> </w:t>
      </w:r>
      <w:r>
        <w:t xml:space="preserve">the New Testament, the Septuagint Psalms, classical historiography - is re-rendered into Greek</w:t>
      </w:r>
      <w:r>
        <w:t xml:space="preserve"> </w:t>
      </w:r>
      <w:r>
        <w:t xml:space="preserve">across periods (Homeric → Koine → Byzantine → Modern) and into sister languages (Latin, Gothic,</w:t>
      </w:r>
      <w:r>
        <w:t xml:space="preserve"> </w:t>
      </w:r>
      <w:r>
        <w:t xml:space="preserve">OCS, Armenian) across the Indo-European family.</w:t>
      </w:r>
    </w:p>
    <w:bookmarkEnd w:id="9"/>
    <w:bookmarkStart w:id="13" w:name="repository-location"/>
    <w:p>
      <w:pPr>
        <w:pStyle w:val="Heading3"/>
      </w:pPr>
      <w:r>
        <w:t xml:space="preserve">1.2 Repository location</w:t>
      </w:r>
    </w:p>
    <w:p>
      <w:pPr>
        <w:pStyle w:val="Compact"/>
        <w:numPr>
          <w:ilvl w:val="0"/>
          <w:numId w:val="1001"/>
        </w:numPr>
      </w:pPr>
      <w:r>
        <w:t xml:space="preserve">Source code:</w:t>
      </w:r>
      <w:r>
        <w:t xml:space="preserve"> </w:t>
      </w:r>
      <w:hyperlink r:id="rId10">
        <w:r>
          <w:rPr>
            <w:rStyle w:val="Hyperlink"/>
          </w:rPr>
          <w:t xml:space="preserve">https://github.com/AthDGC/Diachronic-Linguistics-Platform</w:t>
        </w:r>
      </w:hyperlink>
    </w:p>
    <w:p>
      <w:pPr>
        <w:pStyle w:val="Compact"/>
        <w:numPr>
          <w:ilvl w:val="0"/>
          <w:numId w:val="1001"/>
        </w:numPr>
      </w:pPr>
      <w:r>
        <w:t xml:space="preserve">Public showcase:</w:t>
      </w:r>
      <w:r>
        <w:t xml:space="preserve"> </w:t>
      </w:r>
      <w:hyperlink r:id="rId11">
        <w:r>
          <w:rPr>
            <w:rStyle w:val="Hyperlink"/>
          </w:rPr>
          <w:t xml:space="preserve">https://athdgc.github.io</w:t>
        </w:r>
      </w:hyperlink>
    </w:p>
    <w:p>
      <w:pPr>
        <w:pStyle w:val="Compact"/>
        <w:numPr>
          <w:ilvl w:val="0"/>
          <w:numId w:val="1001"/>
        </w:numPr>
      </w:pPr>
      <w:r>
        <w:t xml:space="preserve">Zenodo deposition:</w:t>
      </w:r>
      <w:r>
        <w:t xml:space="preserve"> </w:t>
      </w:r>
      <w:hyperlink r:id="rId12">
        <w:r>
          <w:rPr>
            <w:rStyle w:val="Hyperlink"/>
          </w:rPr>
          <w:t xml:space="preserve">10.5281/zenodo.20439182</w:t>
        </w:r>
      </w:hyperlink>
    </w:p>
    <w:bookmarkEnd w:id="13"/>
    <w:bookmarkStart w:id="14" w:name="institutional-context"/>
    <w:p>
      <w:pPr>
        <w:pStyle w:val="Heading3"/>
      </w:pPr>
      <w:r>
        <w:t xml:space="preserve">1.3 Institutional context</w:t>
      </w:r>
    </w:p>
    <w:p>
      <w:pPr>
        <w:pStyle w:val="FirstParagraph"/>
      </w:pPr>
      <w:r>
        <w:t xml:space="preserve">AthDGC is developed at the</w:t>
      </w:r>
      <w:r>
        <w:t xml:space="preserve"> </w:t>
      </w:r>
      <w:r>
        <w:rPr>
          <w:b/>
          <w:bCs/>
        </w:rPr>
        <w:t xml:space="preserve">National and Kapodistrian University of Athens (NKUA)</w:t>
      </w:r>
      <w:r>
        <w:t xml:space="preserve">, Division of</w:t>
      </w:r>
      <w:r>
        <w:t xml:space="preserve"> </w:t>
      </w:r>
      <w:r>
        <w:t xml:space="preserve">Language-Linguistics, Department of English Language and Literature, School of Philosophy, under</w:t>
      </w:r>
      <w:r>
        <w:t xml:space="preserve"> </w:t>
      </w:r>
      <w:r>
        <w:t xml:space="preserve">the direction of Prof. Nikolaos Lavidas. Compute is supplied by GRNET ARIS, allocation</w:t>
      </w:r>
      <w:r>
        <w:t xml:space="preserve"> </w:t>
      </w:r>
      <w:r>
        <w:rPr>
          <w:rStyle w:val="VerbatimChar"/>
        </w:rPr>
        <w:t xml:space="preserve">pa260305</w:t>
      </w:r>
      <w:r>
        <w:t xml:space="preserve">.</w:t>
      </w:r>
    </w:p>
    <w:bookmarkEnd w:id="14"/>
    <w:bookmarkEnd w:id="15"/>
    <w:bookmarkStart w:id="22" w:name="method"/>
    <w:p>
      <w:pPr>
        <w:pStyle w:val="Heading2"/>
      </w:pPr>
      <w:r>
        <w:t xml:space="preserve">2. Method</w:t>
      </w:r>
    </w:p>
    <w:bookmarkStart w:id="16" w:name="discovery"/>
    <w:p>
      <w:pPr>
        <w:pStyle w:val="Heading3"/>
      </w:pPr>
      <w:r>
        <w:t xml:space="preserve">2.1 Discovery</w:t>
      </w:r>
    </w:p>
    <w:p>
      <w:pPr>
        <w:pStyle w:val="FirstParagraph"/>
      </w:pPr>
      <w:r>
        <w:t xml:space="preserve">Each day, the discovery stage probes open-access repositories - archive.org, Perseus Digital</w:t>
      </w:r>
      <w:r>
        <w:t xml:space="preserve"> </w:t>
      </w:r>
      <w:r>
        <w:t xml:space="preserve">Library, First1K Greek, Wikisource, the Diorisis Corpus, OpenGreekAndLatin/PerseusDL - for new</w:t>
      </w:r>
      <w:r>
        <w:t xml:space="preserve"> </w:t>
      </w:r>
      <w:r>
        <w:t xml:space="preserve">or updated Greek and parallel-language source material.</w:t>
      </w:r>
    </w:p>
    <w:bookmarkEnd w:id="16"/>
    <w:bookmarkStart w:id="17" w:name="filtering"/>
    <w:p>
      <w:pPr>
        <w:pStyle w:val="Heading3"/>
      </w:pPr>
      <w:r>
        <w:t xml:space="preserve">2.2 Filtering</w:t>
      </w:r>
    </w:p>
    <w:p>
      <w:pPr>
        <w:pStyle w:val="FirstParagraph"/>
      </w:pPr>
      <w:r>
        <w:t xml:space="preserve">Candidate texts are filtered by Greek-script ratio (at least 75% of alphabetic characters in the Greek</w:t>
      </w:r>
      <w:r>
        <w:t xml:space="preserve"> </w:t>
      </w:r>
      <w:r>
        <w:t xml:space="preserve">Unicode blocks), a Path-B line filter for bilingual editorial apparatus, and content-hash</w:t>
      </w:r>
      <w:r>
        <w:t xml:space="preserve"> </w:t>
      </w:r>
      <w:r>
        <w:t xml:space="preserve">deduplication.</w:t>
      </w:r>
    </w:p>
    <w:bookmarkEnd w:id="17"/>
    <w:bookmarkStart w:id="18" w:name="conversion"/>
    <w:p>
      <w:pPr>
        <w:pStyle w:val="Heading3"/>
      </w:pPr>
      <w:r>
        <w:t xml:space="preserve">2.3 Conversion</w:t>
      </w:r>
    </w:p>
    <w:p>
      <w:pPr>
        <w:pStyle w:val="FirstParagraph"/>
      </w:pPr>
      <w:r>
        <w:t xml:space="preserve">Surviving text is converted into the PROIEL XML 2.0 schema with sentence-level structure.</w:t>
      </w:r>
    </w:p>
    <w:bookmarkEnd w:id="18"/>
    <w:bookmarkStart w:id="19" w:name="annotation"/>
    <w:p>
      <w:pPr>
        <w:pStyle w:val="Heading3"/>
      </w:pPr>
      <w:r>
        <w:t xml:space="preserve">2.4 Annotation</w:t>
      </w:r>
    </w:p>
    <w:p>
      <w:pPr>
        <w:pStyle w:val="FirstParagraph"/>
      </w:pPr>
      <w:r>
        <w:t xml:space="preserve">Annotation is performed sentence by sentence with the Stanford Stanza pipeline</w:t>
      </w:r>
      <w:r>
        <w:t xml:space="preserve"> </w:t>
      </w:r>
      <w:r>
        <w:t xml:space="preserve">(Qi et al. 2020)</w:t>
      </w:r>
      <w:r>
        <w:t xml:space="preserve"> </w:t>
      </w:r>
      <w:r>
        <w:t xml:space="preserve">using</w:t>
      </w:r>
      <w:r>
        <w:t xml:space="preserve"> </w:t>
      </w:r>
      <w:r>
        <w:t xml:space="preserve">the PROIEL-trained model</w:t>
      </w:r>
      <w:r>
        <w:t xml:space="preserve"> </w:t>
      </w:r>
      <w:r>
        <w:rPr>
          <w:rStyle w:val="VerbatimChar"/>
        </w:rPr>
        <w:t xml:space="preserve">grc_proiel</w:t>
      </w:r>
      <w:r>
        <w:t xml:space="preserve">. Analogous PROIEL-trained Stanza models are used for Latin</w:t>
      </w:r>
      <w:r>
        <w:t xml:space="preserve"> </w:t>
      </w:r>
      <w:r>
        <w:t xml:space="preserve">(</w:t>
      </w:r>
      <w:r>
        <w:rPr>
          <w:rStyle w:val="VerbatimChar"/>
        </w:rPr>
        <w:t xml:space="preserve">la_proiel</w:t>
      </w:r>
      <w:r>
        <w:t xml:space="preserve">), Old Church Slavonic (</w:t>
      </w:r>
      <w:r>
        <w:rPr>
          <w:rStyle w:val="VerbatimChar"/>
        </w:rPr>
        <w:t xml:space="preserve">cu_proiel</w:t>
      </w:r>
      <w:r>
        <w:t xml:space="preserve">), and Gothic (</w:t>
      </w:r>
      <w:r>
        <w:rPr>
          <w:rStyle w:val="VerbatimChar"/>
        </w:rPr>
        <w:t xml:space="preserve">got_proiel</w:t>
      </w:r>
      <w:r>
        <w:t xml:space="preserve">); Classical Armenian</w:t>
      </w:r>
      <w:r>
        <w:t xml:space="preserve"> </w:t>
      </w:r>
      <w:r>
        <w:t xml:space="preserve">is annotated through a PROIEL-style pipeline currently under development. All output is</w:t>
      </w:r>
      <w:r>
        <w:t xml:space="preserve"> </w:t>
      </w:r>
      <w:r>
        <w:t xml:space="preserve">normalised to the PROIEL XML 2.0 schema; no CoNLL-U or other format is published.</w:t>
      </w:r>
    </w:p>
    <w:bookmarkEnd w:id="19"/>
    <w:bookmarkStart w:id="20" w:name="argument-structure-capture"/>
    <w:p>
      <w:pPr>
        <w:pStyle w:val="Heading3"/>
      </w:pPr>
      <w:r>
        <w:t xml:space="preserve">2.5 Argument-structure capture</w:t>
      </w:r>
    </w:p>
    <w:p>
      <w:pPr>
        <w:pStyle w:val="FirstParagraph"/>
      </w:pPr>
      <w:r>
        <w:t xml:space="preserve">Beyond standard dependency annotation, AthDGC extracts an explicit argument-structure frame for</w:t>
      </w:r>
      <w:r>
        <w:t xml:space="preserve"> </w:t>
      </w:r>
      <w:r>
        <w:t xml:space="preserve">every verb token, using the PROIEL relation inventory strictly: the subject (</w:t>
      </w:r>
      <w:r>
        <w:rPr>
          <w:rStyle w:val="VerbatimChar"/>
        </w:rPr>
        <w:t xml:space="preserve">sub</w:t>
      </w:r>
      <w:r>
        <w:t xml:space="preserve">, including</w:t>
      </w:r>
      <w:r>
        <w:t xml:space="preserve"> </w:t>
      </w:r>
      <w:r>
        <w:t xml:space="preserve">the raised patterns</w:t>
      </w:r>
      <w:r>
        <w:t xml:space="preserve"> </w:t>
      </w:r>
      <w:r>
        <w:rPr>
          <w:rStyle w:val="VerbatimChar"/>
        </w:rPr>
        <w:t xml:space="preserve">xobj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nonsub</w:t>
      </w:r>
      <w:r>
        <w:t xml:space="preserve">), the direct object (</w:t>
      </w:r>
      <w:r>
        <w:rPr>
          <w:rStyle w:val="VerbatimChar"/>
        </w:rPr>
        <w:t xml:space="preserve">obj</w:t>
      </w:r>
      <w:r>
        <w:t xml:space="preserve">), indirect and oblique</w:t>
      </w:r>
      <w:r>
        <w:t xml:space="preserve"> </w:t>
      </w:r>
      <w:r>
        <w:t xml:space="preserve">arguments (</w:t>
      </w:r>
      <w:r>
        <w:rPr>
          <w:rStyle w:val="VerbatimChar"/>
        </w:rPr>
        <w:t xml:space="preserve">iobj</w:t>
      </w:r>
      <w:r>
        <w:t xml:space="preserve">,</w:t>
      </w:r>
      <w:r>
        <w:t xml:space="preserve"> </w:t>
      </w:r>
      <w:r>
        <w:rPr>
          <w:rStyle w:val="VerbatimChar"/>
        </w:rPr>
        <w:t xml:space="preserve">obl</w:t>
      </w:r>
      <w:r>
        <w:t xml:space="preserve">), the vocative addressee (</w:t>
      </w:r>
      <w:r>
        <w:rPr>
          <w:rStyle w:val="VerbatimChar"/>
        </w:rPr>
        <w:t xml:space="preserve">voc</w:t>
      </w:r>
      <w:r>
        <w:t xml:space="preserve">), the voice (active / middle / passive),</w:t>
      </w:r>
      <w:r>
        <w:t xml:space="preserve"> </w:t>
      </w:r>
      <w:r>
        <w:t xml:space="preserve">and the aspect (perfective / imperfective).</w:t>
      </w:r>
    </w:p>
    <w:bookmarkEnd w:id="20"/>
    <w:bookmarkStart w:id="21" w:name="cross-lingual-alignment"/>
    <w:p>
      <w:pPr>
        <w:pStyle w:val="Heading3"/>
      </w:pPr>
      <w:r>
        <w:t xml:space="preserve">2.6 Cross-lingual alignment</w:t>
      </w:r>
    </w:p>
    <w:p>
      <w:pPr>
        <w:pStyle w:val="FirstParagraph"/>
      </w:pPr>
      <w:r>
        <w:t xml:space="preserve">Sentence-level alignment uses LaBSE embeddings</w:t>
      </w:r>
      <w:r>
        <w:t xml:space="preserve"> </w:t>
      </w:r>
      <w:r>
        <w:t xml:space="preserve">(Feng et al. 2022)</w:t>
      </w:r>
      <w:r>
        <w:t xml:space="preserve">; word-level alignment uses</w:t>
      </w:r>
      <w:r>
        <w:t xml:space="preserve"> </w:t>
      </w:r>
      <w:r>
        <w:t xml:space="preserve">multilingual-BERT attention via the AwesomeAlign procedure</w:t>
      </w:r>
      <w:r>
        <w:t xml:space="preserve"> </w:t>
      </w:r>
      <w:r>
        <w:t xml:space="preserve">(Dou and Neubig 2021)</w:t>
      </w:r>
      <w:r>
        <w:t xml:space="preserve">. Phonetic cognate scoring</w:t>
      </w:r>
      <w:r>
        <w:t xml:space="preserve"> </w:t>
      </w:r>
      <w:r>
        <w:t xml:space="preserve">uses ASJP sound-class encoding and LingPy edit distance</w:t>
      </w:r>
      <w:r>
        <w:t xml:space="preserve"> </w:t>
      </w:r>
      <w:r>
        <w:t xml:space="preserve">(List 2014)</w:t>
      </w:r>
      <w:r>
        <w:t xml:space="preserve">.</w:t>
      </w:r>
    </w:p>
    <w:bookmarkEnd w:id="21"/>
    <w:bookmarkEnd w:id="22"/>
    <w:bookmarkStart w:id="29" w:name="dataset-description"/>
    <w:p>
      <w:pPr>
        <w:pStyle w:val="Heading2"/>
      </w:pPr>
      <w:r>
        <w:t xml:space="preserve">3. Dataset description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Object name</w:t>
            </w:r>
          </w:p>
        </w:tc>
        <w:tc>
          <w:tcPr/>
          <w:p>
            <w:pPr>
              <w:pStyle w:val="Compact"/>
            </w:pPr>
            <w:r>
              <w:t xml:space="preserve">AthDGC corpus, v0.4 release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PROIEL XML 2.0 (primary); JSONL partitions; Neo4j alignment-graph dump; Qdrant vector store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Creation dates</w:t>
            </w:r>
          </w:p>
        </w:tc>
        <w:tc>
          <w:tcPr/>
          <w:p>
            <w:pPr>
              <w:pStyle w:val="Compact"/>
            </w:pPr>
            <w:r>
              <w:t xml:space="preserve">2025-09 onwards; v0.4.0 minted 29 May 2026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Dataset creator</w:t>
            </w:r>
          </w:p>
        </w:tc>
        <w:tc>
          <w:tcPr/>
          <w:p>
            <w:pPr>
              <w:pStyle w:val="Compact"/>
            </w:pPr>
            <w:r>
              <w:t xml:space="preserve">Lavidas, N., Nikiforidou, K., Haug, D., Kulikov, L., Geka, V., Symeonidis, V., Michalareas, T., Chionidi, S., Tsiropina, A., Plakoutsi, E., and Argyropoulos, 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Languages</w:t>
            </w:r>
          </w:p>
        </w:tc>
        <w:tc>
          <w:tcPr/>
          <w:p>
            <w:pPr>
              <w:pStyle w:val="Compact"/>
            </w:pPr>
            <w:r>
              <w:t xml:space="preserve">grc (Ancient Greek), gkm (Medieval Greek), ell (Modern Greek) + parallels in lat, got, chu, xcl; queued for v0.7: san, ang, ave, peo, ukr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Licence</w:t>
            </w:r>
          </w:p>
        </w:tc>
        <w:tc>
          <w:tcPr/>
          <w:p>
            <w:pPr>
              <w:pStyle w:val="Compact"/>
            </w:pPr>
            <w:r>
              <w:t xml:space="preserve">Code Apache-2.0; metadata + alignments CC-BY-4.0; per-source raw text under its original licence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Repository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https://github.com/AthDGC/Diachronic-Linguistics-Platform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Concept DOI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10.5281/zenodo.20439182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Publication date</w:t>
            </w:r>
          </w:p>
        </w:tc>
        <w:tc>
          <w:tcPr/>
          <w:p>
            <w:pPr>
              <w:pStyle w:val="Compact"/>
            </w:pPr>
            <w:r>
              <w:t xml:space="preserve">2026-05-29 (v0.4.0 source-code snapshot on Zenodo)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 status</w:t>
            </w:r>
          </w:p>
        </w:tc>
        <w:tc>
          <w:tcPr/>
          <w:p>
            <w:pPr>
              <w:pStyle w:val="Compact"/>
            </w:pPr>
            <w:r>
              <w:t xml:space="preserve">v0.4 is samples-only on the public site; full annotated partitions are under audit on GRNET ARIS and will ship at v0.5</w:t>
            </w:r>
          </w:p>
        </w:tc>
      </w:tr>
    </w:tbl>
    <w:bookmarkStart w:id="25" w:name="open-access-source-provenance"/>
    <w:p>
      <w:pPr>
        <w:pStyle w:val="Heading3"/>
      </w:pPr>
      <w:r>
        <w:t xml:space="preserve">3.1 Open-access source provenance</w:t>
      </w:r>
    </w:p>
    <w:p>
      <w:pPr>
        <w:pStyle w:val="FirstParagraph"/>
      </w:pPr>
      <w:r>
        <w:t xml:space="preserve">Every primary source text in AthDGC is open-access (public domain, CC-BY, CC-BY-SA, or</w:t>
      </w:r>
      <w:r>
        <w:t xml:space="preserve"> </w:t>
      </w:r>
      <w:r>
        <w:t xml:space="preserve">equivalent). The annotation layer is AthDGC-original and released under CC-BY-4.0. The</w:t>
      </w:r>
      <w:r>
        <w:t xml:space="preserve"> </w:t>
      </w:r>
      <w:r>
        <w:t xml:space="preserve">open-access chain is preserved from input through annotation to distribution.</w:t>
      </w:r>
    </w:p>
    <w:bookmarkStart w:id="23" w:name="greek---per-period-source-map"/>
    <w:p>
      <w:pPr>
        <w:pStyle w:val="Heading4"/>
      </w:pPr>
      <w:r>
        <w:t xml:space="preserve">Greek - per-period source map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Period</w:t>
            </w:r>
          </w:p>
        </w:tc>
        <w:tc>
          <w:tcPr/>
          <w:p>
            <w:pPr>
              <w:pStyle w:val="Compact"/>
            </w:pPr>
            <w:r>
              <w:t xml:space="preserve">Source archive</w:t>
            </w:r>
          </w:p>
        </w:tc>
        <w:tc>
          <w:tcPr/>
          <w:p>
            <w:pPr>
              <w:pStyle w:val="Compact"/>
            </w:pPr>
            <w:r>
              <w:t xml:space="preserve">Licence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Archaic, Classical, Hellenistic</w:t>
            </w:r>
          </w:p>
        </w:tc>
        <w:tc>
          <w:tcPr/>
          <w:p>
            <w:pPr>
              <w:pStyle w:val="Compact"/>
            </w:pPr>
            <w:r>
              <w:t xml:space="preserve">Perseus Digital Library; Open Greek and Latin / First Thousand Years of Greek (Leipzig)</w:t>
            </w:r>
          </w:p>
        </w:tc>
        <w:tc>
          <w:tcPr/>
          <w:p>
            <w:pPr>
              <w:pStyle w:val="Compact"/>
            </w:pPr>
            <w:r>
              <w:t xml:space="preserve">CC-BY-SA 4.0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Koine - NT</w:t>
            </w:r>
          </w:p>
        </w:tc>
        <w:tc>
          <w:tcPr/>
          <w:p>
            <w:pPr>
              <w:pStyle w:val="Compact"/>
            </w:pPr>
            <w:r>
              <w:t xml:space="preserve">SBL Greek NT; Tischendorf (1869); Westcott-Hort (1881)</w:t>
            </w:r>
          </w:p>
        </w:tc>
        <w:tc>
          <w:tcPr/>
          <w:p>
            <w:pPr>
              <w:pStyle w:val="Compact"/>
            </w:pPr>
            <w:r>
              <w:t xml:space="preserve">SBL licence; 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Koine - LXX</w:t>
            </w:r>
          </w:p>
        </w:tc>
        <w:tc>
          <w:tcPr/>
          <w:p>
            <w:pPr>
              <w:pStyle w:val="Compact"/>
            </w:pPr>
            <w:r>
              <w:t xml:space="preserve">Rahlfs (1935) via openscriptures.org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Koine - documentary</w:t>
            </w:r>
          </w:p>
        </w:tc>
        <w:tc>
          <w:tcPr/>
          <w:p>
            <w:pPr>
              <w:pStyle w:val="Compact"/>
            </w:pPr>
            <w:r>
              <w:t xml:space="preserve">Papyri.info / DDbDP</w:t>
            </w:r>
          </w:p>
        </w:tc>
        <w:tc>
          <w:tcPr/>
          <w:p>
            <w:pPr>
              <w:pStyle w:val="Compact"/>
            </w:pPr>
            <w:r>
              <w:t xml:space="preserve">CC-BY 3.0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Late Antique, Byzantine</w:t>
            </w:r>
          </w:p>
        </w:tc>
        <w:tc>
          <w:tcPr/>
          <w:p>
            <w:pPr>
              <w:pStyle w:val="Compact"/>
            </w:pPr>
            <w:r>
              <w:t xml:space="preserve">Patrologia Graeca via Documenta Catholica Omnia + Internet Archive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Byzantine, Late Byzantine</w:t>
            </w:r>
          </w:p>
        </w:tc>
        <w:tc>
          <w:tcPr/>
          <w:p>
            <w:pPr>
              <w:pStyle w:val="Compact"/>
            </w:pPr>
            <w:r>
              <w:t xml:space="preserve">Bibliotheca Augustana; pre-1928 Teubner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Early Modern</w:t>
            </w:r>
          </w:p>
        </w:tc>
        <w:tc>
          <w:tcPr/>
          <w:p>
            <w:pPr>
              <w:pStyle w:val="Compact"/>
            </w:pPr>
            <w:r>
              <w:t xml:space="preserve">Anemi (UoC); Wikisource el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Modern (19th c. - 1928)</w:t>
            </w:r>
          </w:p>
        </w:tc>
        <w:tc>
          <w:tcPr/>
          <w:p>
            <w:pPr>
              <w:pStyle w:val="Compact"/>
            </w:pPr>
            <w:r>
              <w:t xml:space="preserve">Wikisource el; Anemi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Modern (post-1928)</w:t>
            </w:r>
          </w:p>
        </w:tc>
        <w:tc>
          <w:tcPr/>
          <w:p>
            <w:pPr>
              <w:pStyle w:val="Compact"/>
            </w:pPr>
            <w:r>
              <w:t xml:space="preserve">publisher-licensed editions; not republished</w:t>
            </w:r>
          </w:p>
        </w:tc>
        <w:tc>
          <w:tcPr/>
          <w:p>
            <w:pPr>
              <w:pStyle w:val="Compact"/>
            </w:pPr>
            <w:r>
              <w:t xml:space="preserve">in copyright</w:t>
            </w:r>
          </w:p>
        </w:tc>
      </w:tr>
    </w:tbl>
    <w:bookmarkEnd w:id="23"/>
    <w:bookmarkStart w:id="24" w:name="ie-parallels---per-language-source-map"/>
    <w:p>
      <w:pPr>
        <w:pStyle w:val="Heading4"/>
      </w:pPr>
      <w:r>
        <w:t xml:space="preserve">IE parallels - per-language source map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t xml:space="preserve">Source archive</w:t>
            </w:r>
          </w:p>
        </w:tc>
        <w:tc>
          <w:tcPr/>
          <w:p>
            <w:pPr>
              <w:pStyle w:val="Compact"/>
            </w:pPr>
            <w:r>
              <w:t xml:space="preserve">Licence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Latin (Vulgate)</w:t>
            </w:r>
          </w:p>
        </w:tc>
        <w:tc>
          <w:tcPr/>
          <w:p>
            <w:pPr>
              <w:pStyle w:val="Compact"/>
            </w:pPr>
            <w:r>
              <w:t xml:space="preserve">Clementine Vulgate via Vulsearch; Latin Library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Gothic (Wulfila)</w:t>
            </w:r>
          </w:p>
        </w:tc>
        <w:tc>
          <w:tcPr/>
          <w:p>
            <w:pPr>
              <w:pStyle w:val="Compact"/>
            </w:pPr>
            <w:r>
              <w:t xml:space="preserve">Wulfila Project (University of Antwerp)</w:t>
            </w:r>
          </w:p>
        </w:tc>
        <w:tc>
          <w:tcPr/>
          <w:p>
            <w:pPr>
              <w:pStyle w:val="Compact"/>
            </w:pPr>
            <w:r>
              <w:t xml:space="preserve">CC-BY-SA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OCS (Marianus)</w:t>
            </w:r>
          </w:p>
        </w:tc>
        <w:tc>
          <w:tcPr/>
          <w:p>
            <w:pPr>
              <w:pStyle w:val="Compact"/>
            </w:pPr>
            <w:r>
              <w:t xml:space="preserve">TITUS (Frankfurt)</w:t>
            </w:r>
          </w:p>
        </w:tc>
        <w:tc>
          <w:tcPr/>
          <w:p>
            <w:pPr>
              <w:pStyle w:val="Compact"/>
            </w:pPr>
            <w:r>
              <w:t xml:space="preserve">academic open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Classical Armenian</w:t>
            </w:r>
          </w:p>
        </w:tc>
        <w:tc>
          <w:tcPr/>
          <w:p>
            <w:pPr>
              <w:pStyle w:val="Compact"/>
            </w:pPr>
            <w:r>
              <w:t xml:space="preserve">TITUS; Digilib Armenian</w:t>
            </w:r>
          </w:p>
        </w:tc>
        <w:tc>
          <w:tcPr/>
          <w:p>
            <w:pPr>
              <w:pStyle w:val="Compact"/>
            </w:pPr>
            <w:r>
              <w:t xml:space="preserve">academic open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Sanskrit (Brahmana, Upanisadic)</w:t>
            </w:r>
          </w:p>
        </w:tc>
        <w:tc>
          <w:tcPr/>
          <w:p>
            <w:pPr>
              <w:pStyle w:val="Compact"/>
            </w:pPr>
            <w:r>
              <w:t xml:space="preserve">GRETIL (Goettingen); SARIT; TITUS</w:t>
            </w:r>
          </w:p>
        </w:tc>
        <w:tc>
          <w:tcPr/>
          <w:p>
            <w:pPr>
              <w:pStyle w:val="Compact"/>
            </w:pPr>
            <w:r>
              <w:t xml:space="preserve">academic open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Old English (Wessex Gospels)</w:t>
            </w:r>
          </w:p>
        </w:tc>
        <w:tc>
          <w:tcPr/>
          <w:p>
            <w:pPr>
              <w:pStyle w:val="Compact"/>
            </w:pPr>
            <w:r>
              <w:t xml:space="preserve">TEAMS; Bosworth-Toller; DOE extracts</w:t>
            </w:r>
          </w:p>
        </w:tc>
        <w:tc>
          <w:tcPr/>
          <w:p>
            <w:pPr>
              <w:pStyle w:val="Compact"/>
            </w:pPr>
            <w:r>
              <w:t xml:space="preserve">public domain + CC-BY-SA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Avestan (Yasna, Yashts)</w:t>
            </w:r>
          </w:p>
        </w:tc>
        <w:tc>
          <w:tcPr/>
          <w:p>
            <w:pPr>
              <w:pStyle w:val="Compact"/>
            </w:pPr>
            <w:r>
              <w:t xml:space="preserve">TITUS; Geldner (1886-95)</w:t>
            </w:r>
          </w:p>
        </w:tc>
        <w:tc>
          <w:tcPr/>
          <w:p>
            <w:pPr>
              <w:pStyle w:val="Compact"/>
            </w:pPr>
            <w:r>
              <w:t xml:space="preserve">public domain + open access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Old Persian (Behistun)</w:t>
            </w:r>
          </w:p>
        </w:tc>
        <w:tc>
          <w:tcPr/>
          <w:p>
            <w:pPr>
              <w:pStyle w:val="Compact"/>
            </w:pPr>
            <w:r>
              <w:t xml:space="preserve">TITUS; Kent (1953) PD transliteration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Ukrainian (Ostroh 1581)</w:t>
            </w:r>
          </w:p>
        </w:tc>
        <w:tc>
          <w:tcPr/>
          <w:p>
            <w:pPr>
              <w:pStyle w:val="Compact"/>
            </w:pPr>
            <w:r>
              <w:t xml:space="preserve">National Library of Ukraine facsimile</w:t>
            </w:r>
          </w:p>
        </w:tc>
        <w:tc>
          <w:tcPr/>
          <w:p>
            <w:pPr>
              <w:pStyle w:val="Compact"/>
            </w:pPr>
            <w:r>
              <w:t xml:space="preserve">public domain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Ukrainian (20th-c. rev.)</w:t>
            </w:r>
          </w:p>
        </w:tc>
        <w:tc>
          <w:tcPr/>
          <w:p>
            <w:pPr>
              <w:pStyle w:val="Compact"/>
            </w:pPr>
            <w:r>
              <w:t xml:space="preserve">Ohienko (1962); Khomenko (1963)</w:t>
            </w:r>
          </w:p>
        </w:tc>
        <w:tc>
          <w:tcPr/>
          <w:p>
            <w:pPr>
              <w:pStyle w:val="Compact"/>
            </w:pPr>
            <w:r>
              <w:t xml:space="preserve">in copyright</w:t>
            </w:r>
          </w:p>
        </w:tc>
      </w:tr>
    </w:tbl>
    <w:p>
      <w:pPr>
        <w:pStyle w:val="BodyText"/>
      </w:pPr>
      <w:r>
        <w:t xml:space="preserve">In-copyright editions are never republished verbatim. AthDGC uses an open-access antecedent</w:t>
      </w:r>
      <w:r>
        <w:t xml:space="preserve"> </w:t>
      </w:r>
      <w:r>
        <w:t xml:space="preserve">(e.g. pre-1928 Teubner; SBL GNT instead of Nestle-Aland) or, where unavoidable, short</w:t>
      </w:r>
      <w:r>
        <w:t xml:space="preserve"> </w:t>
      </w:r>
      <w:r>
        <w:t xml:space="preserve">quotation samples under fair use with full attribution. The annotation layer is always</w:t>
      </w:r>
      <w:r>
        <w:t xml:space="preserve"> </w:t>
      </w:r>
      <w:r>
        <w:t xml:space="preserve">AthDGC-original.</w:t>
      </w:r>
    </w:p>
    <w:bookmarkEnd w:id="24"/>
    <w:bookmarkEnd w:id="25"/>
    <w:bookmarkStart w:id="26" w:name="ie-parallels-covered"/>
    <w:p>
      <w:pPr>
        <w:pStyle w:val="Heading3"/>
      </w:pPr>
      <w:r>
        <w:t xml:space="preserve">3.2 IE parallels covered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Language</w:t>
            </w:r>
          </w:p>
        </w:tc>
        <w:tc>
          <w:tcPr/>
          <w:p>
            <w:pPr>
              <w:pStyle w:val="Compact"/>
            </w:pPr>
            <w:r>
              <w:t xml:space="preserve">Family</w:t>
            </w:r>
          </w:p>
        </w:tc>
        <w:tc>
          <w:tcPr/>
          <w:p>
            <w:pPr>
              <w:pStyle w:val="Compact"/>
            </w:pPr>
            <w:r>
              <w:t xml:space="preserve">Period</w:t>
            </w:r>
          </w:p>
        </w:tc>
        <w:tc>
          <w:tcPr/>
          <w:p>
            <w:pPr>
              <w:pStyle w:val="Compact"/>
            </w:pPr>
            <w:r>
              <w:t xml:space="preserve">Stanza model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NT-aligned verses (v0.4)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Greek (Koine)</w:t>
            </w:r>
          </w:p>
        </w:tc>
        <w:tc>
          <w:tcPr/>
          <w:p>
            <w:pPr>
              <w:pStyle w:val="Compact"/>
            </w:pPr>
            <w:r>
              <w:t xml:space="preserve">IE / Hellenic</w:t>
            </w:r>
          </w:p>
        </w:tc>
        <w:tc>
          <w:tcPr/>
          <w:p>
            <w:pPr>
              <w:pStyle w:val="Compact"/>
            </w:pPr>
            <w:r>
              <w:t xml:space="preserve">1st-2nd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grc_proiel</w:t>
            </w:r>
          </w:p>
        </w:tc>
        <w:tc>
          <w:tcPr/>
          <w:p>
            <w:pPr>
              <w:pStyle w:val="Compact"/>
            </w:pPr>
            <w:r>
              <w:t xml:space="preserve">annotated</w:t>
            </w:r>
          </w:p>
        </w:tc>
        <w:tc>
          <w:tcPr/>
          <w:p>
            <w:pPr>
              <w:pStyle w:val="Compact"/>
            </w:pPr>
            <w:r>
              <w:t xml:space="preserve">7,956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Latin (Vulgate)</w:t>
            </w:r>
          </w:p>
        </w:tc>
        <w:tc>
          <w:tcPr/>
          <w:p>
            <w:pPr>
              <w:pStyle w:val="Compact"/>
            </w:pPr>
            <w:r>
              <w:t xml:space="preserve">IE / Italic</w:t>
            </w:r>
          </w:p>
        </w:tc>
        <w:tc>
          <w:tcPr/>
          <w:p>
            <w:pPr>
              <w:pStyle w:val="Compact"/>
            </w:pPr>
            <w:r>
              <w:t xml:space="preserve">4th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la_proiel</w:t>
            </w:r>
          </w:p>
        </w:tc>
        <w:tc>
          <w:tcPr/>
          <w:p>
            <w:pPr>
              <w:pStyle w:val="Compact"/>
            </w:pPr>
            <w:r>
              <w:t xml:space="preserve">annotated</w:t>
            </w:r>
          </w:p>
        </w:tc>
        <w:tc>
          <w:tcPr/>
          <w:p>
            <w:pPr>
              <w:pStyle w:val="Compact"/>
            </w:pPr>
            <w:r>
              <w:t xml:space="preserve">7,956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Gothic (Wulfila)</w:t>
            </w:r>
          </w:p>
        </w:tc>
        <w:tc>
          <w:tcPr/>
          <w:p>
            <w:pPr>
              <w:pStyle w:val="Compact"/>
            </w:pPr>
            <w:r>
              <w:t xml:space="preserve">IE / Germanic E</w:t>
            </w:r>
          </w:p>
        </w:tc>
        <w:tc>
          <w:tcPr/>
          <w:p>
            <w:pPr>
              <w:pStyle w:val="Compact"/>
            </w:pPr>
            <w:r>
              <w:t xml:space="preserve">4th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got_proiel</w:t>
            </w:r>
          </w:p>
        </w:tc>
        <w:tc>
          <w:tcPr/>
          <w:p>
            <w:pPr>
              <w:pStyle w:val="Compact"/>
            </w:pPr>
            <w:r>
              <w:t xml:space="preserve">annotated</w:t>
            </w:r>
          </w:p>
        </w:tc>
        <w:tc>
          <w:tcPr/>
          <w:p>
            <w:pPr>
              <w:pStyle w:val="Compact"/>
            </w:pPr>
            <w:r>
              <w:t xml:space="preserve">3,512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OCS (Marianus)</w:t>
            </w:r>
          </w:p>
        </w:tc>
        <w:tc>
          <w:tcPr/>
          <w:p>
            <w:pPr>
              <w:pStyle w:val="Compact"/>
            </w:pPr>
            <w:r>
              <w:t xml:space="preserve">IE / Slavic</w:t>
            </w:r>
          </w:p>
        </w:tc>
        <w:tc>
          <w:tcPr/>
          <w:p>
            <w:pPr>
              <w:pStyle w:val="Compact"/>
            </w:pPr>
            <w:r>
              <w:t xml:space="preserve">10th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cu_proiel</w:t>
            </w:r>
          </w:p>
        </w:tc>
        <w:tc>
          <w:tcPr/>
          <w:p>
            <w:pPr>
              <w:pStyle w:val="Compact"/>
            </w:pPr>
            <w:r>
              <w:t xml:space="preserve">sampled</w:t>
            </w:r>
          </w:p>
        </w:tc>
        <w:tc>
          <w:tcPr/>
          <w:p>
            <w:pPr>
              <w:pStyle w:val="Compact"/>
            </w:pPr>
            <w:r>
              <w:t xml:space="preserve">6,861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Classical Armenian</w:t>
            </w:r>
          </w:p>
        </w:tc>
        <w:tc>
          <w:tcPr/>
          <w:p>
            <w:pPr>
              <w:pStyle w:val="Compact"/>
            </w:pPr>
            <w:r>
              <w:t xml:space="preserve">IE / Armenian</w:t>
            </w:r>
          </w:p>
        </w:tc>
        <w:tc>
          <w:tcPr/>
          <w:p>
            <w:pPr>
              <w:pStyle w:val="Compact"/>
            </w:pPr>
            <w:r>
              <w:t xml:space="preserve">5th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xcl_proiel</w:t>
            </w:r>
            <w:r>
              <w:t xml:space="preserve"> </w:t>
            </w:r>
            <w:r>
              <w:t xml:space="preserve">(in dev.)</w:t>
            </w:r>
          </w:p>
        </w:tc>
        <w:tc>
          <w:tcPr/>
          <w:p>
            <w:pPr>
              <w:pStyle w:val="Compact"/>
            </w:pPr>
            <w:r>
              <w:t xml:space="preserve">ingestion</w:t>
            </w:r>
          </w:p>
        </w:tc>
        <w:tc>
          <w:tcPr/>
          <w:p>
            <w:pPr>
              <w:pStyle w:val="Compact"/>
            </w:pPr>
            <w:r>
              <w:t xml:space="preserve">0 (v0.5)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Sanskrit (Brahmana, Upanisadic)</w:t>
            </w:r>
          </w:p>
        </w:tc>
        <w:tc>
          <w:tcPr/>
          <w:p>
            <w:pPr>
              <w:pStyle w:val="Compact"/>
            </w:pPr>
            <w:r>
              <w:t xml:space="preserve">IE / Indo-Iranian</w:t>
            </w:r>
          </w:p>
        </w:tc>
        <w:tc>
          <w:tcPr/>
          <w:p>
            <w:pPr>
              <w:pStyle w:val="Compact"/>
            </w:pPr>
            <w:r>
              <w:t xml:space="preserve">1000-500 BC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sa_vedic</w:t>
            </w:r>
            <w:r>
              <w:t xml:space="preserve"> </w:t>
            </w:r>
            <w:r>
              <w:t xml:space="preserve">(queued)</w:t>
            </w:r>
          </w:p>
        </w:tc>
        <w:tc>
          <w:tcPr/>
          <w:p>
            <w:pPr>
              <w:pStyle w:val="Compact"/>
            </w:pPr>
            <w:r>
              <w:t xml:space="preserve">queued (v0.7)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Old English (Wessex Gospels)</w:t>
            </w:r>
          </w:p>
        </w:tc>
        <w:tc>
          <w:tcPr/>
          <w:p>
            <w:pPr>
              <w:pStyle w:val="Compact"/>
            </w:pPr>
            <w:r>
              <w:t xml:space="preserve">IE / Germanic W</w:t>
            </w:r>
          </w:p>
        </w:tc>
        <w:tc>
          <w:tcPr/>
          <w:p>
            <w:pPr>
              <w:pStyle w:val="Compact"/>
            </w:pPr>
            <w:r>
              <w:t xml:space="preserve">10th c. 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ang_proiel</w:t>
            </w:r>
            <w:r>
              <w:t xml:space="preserve"> </w:t>
            </w:r>
            <w:r>
              <w:t xml:space="preserve">(queued)</w:t>
            </w:r>
          </w:p>
        </w:tc>
        <w:tc>
          <w:tcPr/>
          <w:p>
            <w:pPr>
              <w:pStyle w:val="Compact"/>
            </w:pPr>
            <w:r>
              <w:t xml:space="preserve">queued (v0.7)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Avestan (Yasna, Yashts)</w:t>
            </w:r>
          </w:p>
        </w:tc>
        <w:tc>
          <w:tcPr/>
          <w:p>
            <w:pPr>
              <w:pStyle w:val="Compact"/>
            </w:pPr>
            <w:r>
              <w:t xml:space="preserve">IE / Indo-Iranian</w:t>
            </w:r>
          </w:p>
        </w:tc>
        <w:tc>
          <w:tcPr/>
          <w:p>
            <w:pPr>
              <w:pStyle w:val="Compact"/>
            </w:pPr>
            <w:r>
              <w:t xml:space="preserve">1000-500 BC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ae_proiel</w:t>
            </w:r>
            <w:r>
              <w:t xml:space="preserve"> </w:t>
            </w:r>
            <w:r>
              <w:t xml:space="preserve">(queued)</w:t>
            </w:r>
          </w:p>
        </w:tc>
        <w:tc>
          <w:tcPr/>
          <w:p>
            <w:pPr>
              <w:pStyle w:val="Compact"/>
            </w:pPr>
            <w:r>
              <w:t xml:space="preserve">queued (v0.7)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Old Persian (Behistun)</w:t>
            </w:r>
          </w:p>
        </w:tc>
        <w:tc>
          <w:tcPr/>
          <w:p>
            <w:pPr>
              <w:pStyle w:val="Compact"/>
            </w:pPr>
            <w:r>
              <w:t xml:space="preserve">IE / Indo-Iranian</w:t>
            </w:r>
          </w:p>
        </w:tc>
        <w:tc>
          <w:tcPr/>
          <w:p>
            <w:pPr>
              <w:pStyle w:val="Compact"/>
            </w:pPr>
            <w:r>
              <w:t xml:space="preserve">6th-5th c. BC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peo_proiel</w:t>
            </w:r>
            <w:r>
              <w:t xml:space="preserve"> </w:t>
            </w:r>
            <w:r>
              <w:t xml:space="preserve">(queued)</w:t>
            </w:r>
          </w:p>
        </w:tc>
        <w:tc>
          <w:tcPr/>
          <w:p>
            <w:pPr>
              <w:pStyle w:val="Compact"/>
            </w:pPr>
            <w:r>
              <w:t xml:space="preserve">queued (v0.7)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t xml:space="preserve">Ukrainian (Ostroh + 20th-c. rev.)</w:t>
            </w:r>
          </w:p>
        </w:tc>
        <w:tc>
          <w:tcPr/>
          <w:p>
            <w:pPr>
              <w:pStyle w:val="Compact"/>
            </w:pPr>
            <w:r>
              <w:t xml:space="preserve">IE / Slavic E</w:t>
            </w:r>
          </w:p>
        </w:tc>
        <w:tc>
          <w:tcPr/>
          <w:p>
            <w:pPr>
              <w:pStyle w:val="Compact"/>
            </w:pPr>
            <w:r>
              <w:t xml:space="preserve">1581 + 1962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uk_dep</w:t>
            </w:r>
            <w:r>
              <w:t xml:space="preserve"> </w:t>
            </w:r>
            <w:r>
              <w:t xml:space="preserve">adapted (queued)</w:t>
            </w:r>
          </w:p>
        </w:tc>
        <w:tc>
          <w:tcPr/>
          <w:p>
            <w:pPr>
              <w:pStyle w:val="Compact"/>
            </w:pPr>
            <w:r>
              <w:t xml:space="preserve">queued (v0.7)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</w:tbl>
    <w:bookmarkEnd w:id="26"/>
    <w:bookmarkStart w:id="27" w:name="retelling-and-retranslation-chains"/>
    <w:p>
      <w:pPr>
        <w:pStyle w:val="Heading3"/>
      </w:pPr>
      <w:r>
        <w:t xml:space="preserve">3.3 Retelling and retranslation chains</w:t>
      </w:r>
    </w:p>
    <w:p>
      <w:pPr>
        <w:pStyle w:val="FirstParagraph"/>
      </w:pPr>
      <w:r>
        <w:t xml:space="preserve">Five chains are public on the Samples page. Each renders the same canonical passage across</w:t>
      </w:r>
      <w:r>
        <w:t xml:space="preserve"> </w:t>
      </w:r>
      <w:r>
        <w:t xml:space="preserve">periods (retelling, retranslation within Greek) or across languages (cross-IE retranslation),</w:t>
      </w:r>
      <w:r>
        <w:t xml:space="preserve"> </w:t>
      </w:r>
      <w:r>
        <w:t xml:space="preserve">with one PROIEL tree per node and a frame-stability gloss.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Chain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Nodes</w:t>
            </w:r>
          </w:p>
        </w:tc>
        <w:tc>
          <w:tcPr/>
          <w:p>
            <w:pPr>
              <w:pStyle w:val="Compact"/>
            </w:pPr>
            <w:r>
              <w:t xml:space="preserve">What it shows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Iliad</w:t>
            </w:r>
            <w:r>
              <w:t xml:space="preserve"> </w:t>
            </w:r>
            <w:r>
              <w:t xml:space="preserve">1.1 across reception</w:t>
            </w:r>
          </w:p>
        </w:tc>
        <w:tc>
          <w:tcPr/>
          <w:p>
            <w:pPr>
              <w:pStyle w:val="Compact"/>
            </w:pPr>
            <w:r>
              <w:t xml:space="preserve">retelling</w:t>
            </w:r>
          </w:p>
        </w:tc>
        <w:tc>
          <w:tcPr/>
          <w:p>
            <w:pPr>
              <w:pStyle w:val="Compact"/>
            </w:pPr>
            <w:r>
              <w:t xml:space="preserve">Homer (8th c. BC); Tzetzes (12th c.); Kazantzakis/Kakridis (1955)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[obj:acc, voc:voc]</w:t>
            </w:r>
            <w:r>
              <w:t xml:space="preserve"> </w:t>
            </w:r>
            <w:r>
              <w:t xml:space="preserve">stable across 2,800 years; collapses only under Tzetzes’ narrative reframing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LXX Psalm 1:1 across periods</w:t>
            </w:r>
          </w:p>
        </w:tc>
        <w:tc>
          <w:tcPr/>
          <w:p>
            <w:pPr>
              <w:pStyle w:val="Compact"/>
            </w:pPr>
            <w:r>
              <w:t xml:space="preserve">retranslation</w:t>
            </w:r>
          </w:p>
        </w:tc>
        <w:tc>
          <w:tcPr/>
          <w:p>
            <w:pPr>
              <w:pStyle w:val="Compact"/>
            </w:pPr>
            <w:r>
              <w:t xml:space="preserve">LXX (3rd c. BC); Byzantine (10th c.); Modern Greek (post-1976)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pred-nom + sub + atr.rel-cl</w:t>
            </w:r>
            <w:r>
              <w:t xml:space="preserve"> </w:t>
            </w:r>
            <w:r>
              <w:t xml:space="preserve">stable; voice flips twice;</w:t>
            </w:r>
            <w:r>
              <w:t xml:space="preserve"> </w:t>
            </w:r>
            <w:r>
              <w:rPr>
                <w:i/>
                <w:iCs/>
              </w:rPr>
              <w:t xml:space="preserve">οὐκ -&gt; οὐ -&gt; δεν</w:t>
            </w:r>
          </w:p>
        </w:tc>
      </w:tr>
      <w:tr>
        <w:tc>
          <w:tcPr/>
          <w:p>
            <w:pPr>
              <w:pStyle w:val="Compact"/>
            </w:pPr>
            <w:r>
              <w:t xml:space="preserve">NT John 1:1 patristic + Modern reception</w:t>
            </w:r>
          </w:p>
        </w:tc>
        <w:tc>
          <w:tcPr/>
          <w:p>
            <w:pPr>
              <w:pStyle w:val="Compact"/>
            </w:pPr>
            <w:r>
              <w:t xml:space="preserve">retelling</w:t>
            </w:r>
          </w:p>
        </w:tc>
        <w:tc>
          <w:tcPr/>
          <w:p>
            <w:pPr>
              <w:pStyle w:val="Compact"/>
            </w:pPr>
            <w:r>
              <w:t xml:space="preserve">John (1st c.); Chrysostom (4th c.); John of Damascus (8th c.); Modern liturgical (post-1976)</w:t>
            </w:r>
          </w:p>
        </w:tc>
        <w:tc>
          <w:tcPr/>
          <w:p>
            <w:pPr>
              <w:pStyle w:val="Compact"/>
            </w:pPr>
            <w:r>
              <w:t xml:space="preserve">copular skeleton stable 2,000 years; patristic nodes nest under</w:t>
            </w:r>
            <w:r>
              <w:t xml:space="preserve"> </w:t>
            </w:r>
            <w:r>
              <w:rPr>
                <w:rStyle w:val="VerbatimChar"/>
              </w:rPr>
              <w:t xml:space="preserve">xcomp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w:r>
              <w:rPr>
                <w:i/>
                <w:iCs/>
              </w:rPr>
              <w:t xml:space="preserve">φησίν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Plato</w:t>
            </w:r>
            <w:r>
              <w:t xml:space="preserve"> </w:t>
            </w:r>
            <w:r>
              <w:rPr>
                <w:i/>
                <w:iCs/>
              </w:rPr>
              <w:t xml:space="preserve">Apology</w:t>
            </w:r>
            <w:r>
              <w:t xml:space="preserve"> </w:t>
            </w:r>
            <w:r>
              <w:t xml:space="preserve">17a across reception</w:t>
            </w:r>
          </w:p>
        </w:tc>
        <w:tc>
          <w:tcPr/>
          <w:p>
            <w:pPr>
              <w:pStyle w:val="Compact"/>
            </w:pPr>
            <w:r>
              <w:t xml:space="preserve">retelling</w:t>
            </w:r>
          </w:p>
        </w:tc>
        <w:tc>
          <w:tcPr/>
          <w:p>
            <w:pPr>
              <w:pStyle w:val="Compact"/>
            </w:pPr>
            <w:r>
              <w:t xml:space="preserve">Plato (4th c. BC); Olympiodorus (6th c.); Modern Greek (post-1976)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pred + adv:neg + comp[sub, obl]</w:t>
            </w:r>
            <w:r>
              <w:t xml:space="preserve"> </w:t>
            </w:r>
            <w:r>
              <w:t xml:space="preserve">preserved; perfect aspect synthetic vs analytic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LXX Genesis 1:1 across IE languages</w:t>
            </w:r>
          </w:p>
        </w:tc>
        <w:tc>
          <w:tcPr/>
          <w:p>
            <w:pPr>
              <w:pStyle w:val="Compact"/>
            </w:pPr>
            <w:r>
              <w:t xml:space="preserve">retranslation, cross-IE</w:t>
            </w:r>
          </w:p>
        </w:tc>
        <w:tc>
          <w:tcPr/>
          <w:p>
            <w:pPr>
              <w:pStyle w:val="Compact"/>
            </w:pPr>
            <w:r>
              <w:t xml:space="preserve">LXX Greek; Vulgate Latin; Wulfila Gothic; OCS Marianus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pred + sub + obl/adv + obj + coord</w:t>
            </w:r>
            <w:r>
              <w:t xml:space="preserve"> </w:t>
            </w:r>
            <w:r>
              <w:t xml:space="preserve">stable across all four; only obl-vs-adv diverges in OCS</w:t>
            </w:r>
          </w:p>
        </w:tc>
      </w:tr>
    </w:tbl>
    <w:bookmarkEnd w:id="27"/>
    <w:bookmarkStart w:id="28" w:name="tools-open-source"/>
    <w:p>
      <w:pPr>
        <w:pStyle w:val="Heading3"/>
      </w:pPr>
      <w:r>
        <w:t xml:space="preserve">3.4 Tools (open source)</w:t>
      </w:r>
    </w:p>
    <w:p>
      <w:pPr>
        <w:pStyle w:val="FirstParagraph"/>
      </w:pPr>
      <w:r>
        <w:t xml:space="preserve">AthDGC ships fourteen modules under OSI-approved licences. The annotation layer plus the</w:t>
      </w:r>
      <w:r>
        <w:t xml:space="preserve"> </w:t>
      </w:r>
      <w:r>
        <w:t xml:space="preserve">corpus samples are CC-BY-4.0; tool code is Apache-2.0 (most modules), MIT (Quarto pack +</w:t>
      </w:r>
      <w:r>
        <w:t xml:space="preserve"> </w:t>
      </w:r>
      <w:r>
        <w:t xml:space="preserve">Neo4j viewer), BSD-3-Clause (upstream LightSIDE, retained on the patch set), and GPL-3.0</w:t>
      </w:r>
      <w:r>
        <w:t xml:space="preserve"> </w:t>
      </w:r>
      <w:r>
        <w:t xml:space="preserve">(upstream CWB, retained on the index builder).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Licence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tools/lightside-athdgc/</w:t>
            </w:r>
            <w:r>
              <w:t xml:space="preserve"> </w:t>
            </w:r>
            <w:r>
              <w:t xml:space="preserve">(LightSIDE for PROIEL arcs + frames + morphology)</w:t>
            </w:r>
          </w:p>
        </w:tc>
        <w:tc>
          <w:tcPr/>
          <w:p>
            <w:pPr>
              <w:pStyle w:val="Compact"/>
            </w:pPr>
            <w:r>
              <w:t xml:space="preserve">BSD-3-Clause + 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tools/athdgc_to_lightside_syntax.py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tools/athdgc_to_lightside.py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tools/proiel_export/</w:t>
            </w:r>
            <w:r>
              <w:t xml:space="preserve"> </w:t>
            </w:r>
            <w:r>
              <w:t xml:space="preserve">(Stanza -&gt; PROIEL XML 2.0)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tools/proiel_validate.py</w:t>
            </w:r>
            <w:r>
              <w:t xml:space="preserve"> </w:t>
            </w:r>
            <w:r>
              <w:t xml:space="preserve">(v0.5 schema linter)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tools/arg_structure.py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tools/fix_corpus_data.py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tools/valency_db.py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tools/stanza-finetune/</w:t>
            </w:r>
            <w:r>
              <w:t xml:space="preserve"> </w:t>
            </w:r>
            <w:r>
              <w:t xml:space="preserve">(diachronic Stanza checkpoints)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tools/build_cwb_index.sh</w:t>
            </w:r>
            <w:r>
              <w:t xml:space="preserve"> </w:t>
            </w:r>
            <w:r>
              <w:t xml:space="preserve">(NoSketch-style CWB index)</w:t>
            </w:r>
          </w:p>
        </w:tc>
        <w:tc>
          <w:tcPr/>
          <w:p>
            <w:pPr>
              <w:pStyle w:val="Compact"/>
            </w:pPr>
            <w:r>
              <w:t xml:space="preserve">GPL-3.0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tools/cwb-recipes/</w:t>
            </w:r>
            <w:r>
              <w:t xml:space="preserve"> </w:t>
            </w:r>
            <w:r>
              <w:t xml:space="preserve">(sample CQL queries)</w:t>
            </w:r>
          </w:p>
        </w:tc>
        <w:tc>
          <w:tcPr/>
          <w:p>
            <w:pPr>
              <w:pStyle w:val="Compact"/>
            </w:pPr>
            <w:r>
              <w:t xml:space="preserve">CC-BY-4.0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tools/showcase/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51_build_showcase_site.py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tools/neo4j-align-viewer/</w:t>
            </w:r>
            <w:r>
              <w:t xml:space="preserve"> </w:t>
            </w:r>
            <w:r>
              <w:t xml:space="preserve">(cross-lingual graph viewer)</w:t>
            </w:r>
          </w:p>
        </w:tc>
        <w:tc>
          <w:tcPr/>
          <w:p>
            <w:pPr>
              <w:pStyle w:val="Compac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tools/retranslation-browser/</w:t>
            </w:r>
            <w:r>
              <w:t xml:space="preserve"> </w:t>
            </w:r>
            <w:r>
              <w:t xml:space="preserve">(v0.5)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tools/retelling-explorer/</w:t>
            </w:r>
            <w:r>
              <w:t xml:space="preserve"> </w:t>
            </w:r>
            <w:r>
              <w:t xml:space="preserve">(v0.5)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athdgc-quarto/</w:t>
            </w:r>
            <w:r>
              <w:t xml:space="preserve"> </w:t>
            </w:r>
            <w:r>
              <w:t xml:space="preserve">(this Working Paper + the public site)</w:t>
            </w:r>
          </w:p>
        </w:tc>
        <w:tc>
          <w:tcPr/>
          <w:p>
            <w:pPr>
              <w:pStyle w:val="Compac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Stanza checkpoints</w:t>
            </w:r>
            <w:r>
              <w:t xml:space="preserve"> </w:t>
            </w:r>
            <w:r>
              <w:rPr>
                <w:rStyle w:val="VerbatimChar"/>
              </w:rPr>
              <w:t xml:space="preserve">athdgc/grc_byz_proiel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grc_lbem_proiel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grc_mod_proiel</w:t>
            </w:r>
            <w:r>
              <w:t xml:space="preserve"> </w:t>
            </w:r>
            <w:r>
              <w:t xml:space="preserve">(HF mirror v0.5)</w:t>
            </w:r>
          </w:p>
        </w:tc>
        <w:tc>
          <w:tcPr/>
          <w:p>
            <w:pPr>
              <w:pStyle w:val="Compact"/>
            </w:pPr>
            <w:r>
              <w:t xml:space="preserve">Apache-2.0</w:t>
            </w:r>
          </w:p>
        </w:tc>
      </w:tr>
    </w:tbl>
    <w:p>
      <w:pPr>
        <w:pStyle w:val="BodyText"/>
      </w:pPr>
      <w:r>
        <w:t xml:space="preserve">Two automated gates run on every community PR: a PROIEL XML 2.0 schema validator (rejecting</w:t>
      </w:r>
      <w:r>
        <w:t xml:space="preserve"> </w:t>
      </w:r>
      <w:r>
        <w:t xml:space="preserve">UD-style labels such as</w:t>
      </w:r>
      <w:r>
        <w:t xml:space="preserve"> </w:t>
      </w:r>
      <w:r>
        <w:rPr>
          <w:rStyle w:val="VerbatimChar"/>
        </w:rPr>
        <w:t xml:space="preserve">nsubj</w:t>
      </w:r>
      <w:r>
        <w:t xml:space="preserve">,</w:t>
      </w:r>
      <w:r>
        <w:t xml:space="preserve"> </w:t>
      </w:r>
      <w:r>
        <w:rPr>
          <w:rStyle w:val="VerbatimChar"/>
        </w:rPr>
        <w:t xml:space="preserve">dobj</w:t>
      </w:r>
      <w:r>
        <w:t xml:space="preserve">,</w:t>
      </w:r>
      <w:r>
        <w:t xml:space="preserve"> </w:t>
      </w:r>
      <w:r>
        <w:rPr>
          <w:rStyle w:val="VerbatimChar"/>
        </w:rPr>
        <w:t xml:space="preserve">nmod</w:t>
      </w:r>
      <w:r>
        <w:t xml:space="preserve">,</w:t>
      </w:r>
      <w:r>
        <w:t xml:space="preserve"> </w:t>
      </w:r>
      <w:r>
        <w:rPr>
          <w:rStyle w:val="VerbatimChar"/>
        </w:rPr>
        <w:t xml:space="preserve">case</w:t>
      </w:r>
      <w:r>
        <w:t xml:space="preserve">) and a Lavidasised house-style check</w:t>
      </w:r>
      <w:r>
        <w:t xml:space="preserve"> </w:t>
      </w:r>
      <w:r>
        <w:t xml:space="preserve">(rejecting AI-marker vocabulary and em-dashes).</w:t>
      </w:r>
    </w:p>
    <w:bookmarkEnd w:id="28"/>
    <w:bookmarkEnd w:id="29"/>
    <w:bookmarkStart w:id="31" w:name="reuse-potential"/>
    <w:p>
      <w:pPr>
        <w:pStyle w:val="Heading2"/>
      </w:pPr>
      <w:r>
        <w:t xml:space="preserve">4. Reuse potential</w:t>
      </w:r>
    </w:p>
    <w:p>
      <w:pPr>
        <w:pStyle w:val="FirstParagraph"/>
      </w:pPr>
      <w:r>
        <w:t xml:space="preserve">AthDGC supports four primary reuse classes: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Historical syntactic research.</w:t>
      </w:r>
      <w:r>
        <w:t xml:space="preserve"> </w:t>
      </w:r>
      <w:r>
        <w:t xml:space="preserve">Per-period dependency parses allow analysts to track</w:t>
      </w:r>
      <w:r>
        <w:t xml:space="preserve"> </w:t>
      </w:r>
      <w:r>
        <w:t xml:space="preserve">argument-structure changes across three millennia of Greek (active-to-mediopassive shifts,</w:t>
      </w:r>
      <w:r>
        <w:t xml:space="preserve"> </w:t>
      </w:r>
      <w:r>
        <w:t xml:space="preserve">loss of optative, rise of periphrastic perfect, accusative-to-genitive variation under</w:t>
      </w:r>
      <w:r>
        <w:t xml:space="preserve"> </w:t>
      </w:r>
      <w:r>
        <w:t xml:space="preserve">verbs of perception, etc.). The colour-coded compact dependency overview on each sample is</w:t>
      </w:r>
      <w:r>
        <w:t xml:space="preserve"> </w:t>
      </w:r>
      <w:r>
        <w:t xml:space="preserve">designed for fast scanning of these patterns.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Indo-European comparative syntax.</w:t>
      </w:r>
      <w:r>
        <w:t xml:space="preserve"> </w:t>
      </w:r>
      <w:r>
        <w:t xml:space="preserve">The verse-level cross-lingual alignment of the New</w:t>
      </w:r>
      <w:r>
        <w:t xml:space="preserve"> </w:t>
      </w:r>
      <w:r>
        <w:t xml:space="preserve">Testament to Latin (Vulgate), Gothic (Wulfila), Old Church Slavonic (Marianus), and</w:t>
      </w:r>
      <w:r>
        <w:t xml:space="preserve"> </w:t>
      </w:r>
      <w:r>
        <w:t xml:space="preserve">Classical Armenian provides aligned PROIEL parses across four sister IE languages, with</w:t>
      </w:r>
      <w:r>
        <w:t xml:space="preserve"> </w:t>
      </w:r>
      <w:r>
        <w:t xml:space="preserve">Sanskrit, Old English, Avestan, Old Persian, and Ukrainian queued at v0.7. Users can</w:t>
      </w:r>
      <w:r>
        <w:t xml:space="preserve"> </w:t>
      </w:r>
      <w:r>
        <w:t xml:space="preserve">query the Neo4j alignment graph for typological correspondences (e.g. </w:t>
      </w:r>
      <w:r>
        <w:rPr>
          <w:i/>
          <w:iCs/>
        </w:rPr>
        <w:t xml:space="preserve">every Greek aorist</w:t>
      </w:r>
      <w:r>
        <w:rPr>
          <w:i/>
          <w:iCs/>
        </w:rPr>
        <w:t xml:space="preserve"> </w:t>
      </w:r>
      <w:r>
        <w:rPr>
          <w:i/>
          <w:iCs/>
        </w:rPr>
        <w:t xml:space="preserve">active verb whose Latin Vulgate counterpart is passive</w:t>
      </w:r>
      <w:r>
        <w:t xml:space="preserve">).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Computational diachronic NLP.</w:t>
      </w:r>
      <w:r>
        <w:t xml:space="preserve"> </w:t>
      </w:r>
      <w:r>
        <w:t xml:space="preserve">The fine-tuned Stanza checkpoints (</w:t>
      </w:r>
      <w:r>
        <w:rPr>
          <w:rStyle w:val="VerbatimChar"/>
        </w:rPr>
        <w:t xml:space="preserve">grc_byz_proiel</w:t>
      </w:r>
      <w:r>
        <w:t xml:space="preserve">,</w:t>
      </w:r>
      <w:r>
        <w:t xml:space="preserve"> </w:t>
      </w:r>
      <w:r>
        <w:rPr>
          <w:rStyle w:val="VerbatimChar"/>
        </w:rPr>
        <w:t xml:space="preserve">grc_lbem_proiel</w:t>
      </w:r>
      <w:r>
        <w:t xml:space="preserve">,</w:t>
      </w:r>
      <w:r>
        <w:t xml:space="preserve"> </w:t>
      </w:r>
      <w:r>
        <w:rPr>
          <w:rStyle w:val="VerbatimChar"/>
        </w:rPr>
        <w:t xml:space="preserve">grc_mod_proiel</w:t>
      </w:r>
      <w:r>
        <w:t xml:space="preserve">) are trained on ARIS; the Hugging Face mirror</w:t>
      </w:r>
      <w:r>
        <w:t xml:space="preserve"> </w:t>
      </w:r>
      <w:r>
        <w:t xml:space="preserve">under</w:t>
      </w:r>
      <w:r>
        <w:t xml:space="preserve"> </w:t>
      </w:r>
      <w:r>
        <w:rPr>
          <w:rStyle w:val="VerbatimChar"/>
        </w:rPr>
        <w:t xml:space="preserve">athdgc/*</w:t>
      </w:r>
      <w:r>
        <w:t xml:space="preserve"> </w:t>
      </w:r>
      <w:r>
        <w:t xml:space="preserve">is in setup and ships at v0.5. The checkpoints can be loaded</w:t>
      </w:r>
      <w:r>
        <w:t xml:space="preserve"> </w:t>
      </w:r>
      <w:r>
        <w:t xml:space="preserve">directly into Stanza for parsing new Greek diachronic data once published. The</w:t>
      </w:r>
      <w:r>
        <w:t xml:space="preserve"> </w:t>
      </w:r>
      <w:r>
        <w:t xml:space="preserve">LightSIDE-AthDGC fork</w:t>
      </w:r>
      <w:r>
        <w:t xml:space="preserve"> </w:t>
      </w:r>
      <w:r>
        <w:t xml:space="preserve">extends LightSIDE to work on syntactic features (dependency arcs, argument-structure</w:t>
      </w:r>
      <w:r>
        <w:t xml:space="preserve"> </w:t>
      </w:r>
      <w:r>
        <w:t xml:space="preserve">frames, morphology bundles), opening a new feature space for classification of</w:t>
      </w:r>
      <w:r>
        <w:t xml:space="preserve"> </w:t>
      </w:r>
      <w:r>
        <w:t xml:space="preserve">diachronic stages.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Digital editions + pedagogy.</w:t>
      </w:r>
      <w:r>
        <w:t xml:space="preserve"> </w:t>
      </w:r>
      <w:r>
        <w:t xml:space="preserve">The showcase generator (</w:t>
      </w:r>
      <w:r>
        <w:rPr>
          <w:rStyle w:val="VerbatimChar"/>
        </w:rPr>
        <w:t xml:space="preserve">51_build_showcase_site.py</w:t>
      </w:r>
      <w:r>
        <w:t xml:space="preserve">)</w:t>
      </w:r>
      <w:r>
        <w:t xml:space="preserve"> </w:t>
      </w:r>
      <w:r>
        <w:t xml:space="preserve">produces browsable per-sample PROIEL trees from any JSONL corpus; the Quarto template</w:t>
      </w:r>
      <w:r>
        <w:t xml:space="preserve"> </w:t>
      </w:r>
      <w:r>
        <w:t xml:space="preserve">pack generates the whole multi-output site (HTML, Reveal.js slides, .docx, .pptx,</w:t>
      </w:r>
      <w:r>
        <w:t xml:space="preserve"> </w:t>
      </w:r>
      <w:r>
        <w:t xml:space="preserve">Beamer, A0 poster) from a single source. Both are open-source and reusable by other</w:t>
      </w:r>
      <w:r>
        <w:t xml:space="preserve"> </w:t>
      </w:r>
      <w:r>
        <w:t xml:space="preserve">historical-treebank projects.</w:t>
      </w:r>
    </w:p>
    <w:p>
      <w:pPr>
        <w:pStyle w:val="FirstParagraph"/>
      </w:pPr>
      <w:r>
        <w:t xml:space="preserve">The platform is taught as a KEDIVIM continuing-education course at NKUA:</w:t>
      </w:r>
      <w:r>
        <w:t xml:space="preserve"> </w:t>
      </w:r>
      <w:r>
        <w:rPr>
          <w:i/>
          <w:iCs/>
        </w:rPr>
        <w:t xml:space="preserve">Ψηφιακά Εργαλεία</w:t>
      </w:r>
      <w:r>
        <w:rPr>
          <w:i/>
          <w:iCs/>
        </w:rPr>
        <w:t xml:space="preserve"> </w:t>
      </w:r>
      <w:r>
        <w:rPr>
          <w:i/>
          <w:iCs/>
        </w:rPr>
        <w:t xml:space="preserve">για τη Διαχρονική Ανάλυση της Γλώσσας / Digital Tools for the Diachronic Analysis of</w:t>
      </w:r>
      <w:r>
        <w:rPr>
          <w:i/>
          <w:iCs/>
        </w:rPr>
        <w:t xml:space="preserve"> </w:t>
      </w:r>
      <w:r>
        <w:rPr>
          <w:i/>
          <w:iCs/>
        </w:rPr>
        <w:t xml:space="preserve">Language</w:t>
      </w:r>
      <w:r>
        <w:t xml:space="preserve">, autumn 2026. See</w:t>
      </w:r>
      <w:r>
        <w:t xml:space="preserve"> </w:t>
      </w:r>
      <w:hyperlink r:id="rId30">
        <w:r>
          <w:rPr>
            <w:rStyle w:val="Hyperlink"/>
          </w:rPr>
          <w:t xml:space="preserve">https://athdgc.github.io/training.html</w:t>
        </w:r>
      </w:hyperlink>
      <w:r>
        <w:t xml:space="preserve">.</w:t>
      </w:r>
    </w:p>
    <w:bookmarkEnd w:id="31"/>
    <w:bookmarkStart w:id="33" w:name="access-format"/>
    <w:p>
      <w:pPr>
        <w:pStyle w:val="Heading2"/>
      </w:pPr>
      <w:r>
        <w:t xml:space="preserve">5. Access + format</w:t>
      </w:r>
    </w:p>
    <w:p>
      <w:pPr>
        <w:pStyle w:val="FirstParagraph"/>
      </w:pPr>
      <w:r>
        <w:t xml:space="preserve">The public site at</w:t>
      </w:r>
      <w:r>
        <w:t xml:space="preserve"> </w:t>
      </w:r>
      <w:hyperlink r:id="rId11">
        <w:r>
          <w:rPr>
            <w:rStyle w:val="Hyperlink"/>
          </w:rPr>
          <w:t xml:space="preserve">https://athdgc.github.io</w:t>
        </w:r>
      </w:hyperlink>
      <w:r>
        <w:t xml:space="preserve"> </w:t>
      </w:r>
      <w:r>
        <w:t xml:space="preserve">ships</w:t>
      </w:r>
      <w:r>
        <w:t xml:space="preserve"> </w:t>
      </w:r>
      <w:r>
        <w:rPr>
          <w:b/>
          <w:bCs/>
        </w:rPr>
        <w:t xml:space="preserve">curated samples only</w:t>
      </w:r>
      <w:r>
        <w:t xml:space="preserve"> </w:t>
      </w:r>
      <w:r>
        <w:t xml:space="preserve">for the v0.4</w:t>
      </w:r>
      <w:r>
        <w:t xml:space="preserve"> </w:t>
      </w:r>
      <w:r>
        <w:t xml:space="preserve">release. The full annotated corpus partitions remain under audit on the GRNET ARIS national</w:t>
      </w:r>
      <w:r>
        <w:t xml:space="preserve"> </w:t>
      </w:r>
      <w:r>
        <w:t xml:space="preserve">HPC under allocation</w:t>
      </w:r>
      <w:r>
        <w:t xml:space="preserve"> </w:t>
      </w:r>
      <w:r>
        <w:rPr>
          <w:rStyle w:val="VerbatimChar"/>
        </w:rPr>
        <w:t xml:space="preserve">pa260305</w:t>
      </w:r>
      <w:r>
        <w:t xml:space="preserve">; they will ship at v0.5 as a separate Zenodo dataset record</w:t>
      </w:r>
      <w:r>
        <w:t xml:space="preserve"> </w:t>
      </w:r>
      <w:r>
        <w:t xml:space="preserve">under CC-BY-4.0. The source-code snapshot at the v0.4.0 Zenodo record is Apache-2.0.</w:t>
      </w:r>
    </w:p>
    <w:p>
      <w:pPr>
        <w:pStyle w:val="BodyText"/>
      </w:pPr>
      <w:r>
        <w:t xml:space="preserve">The platform’s fourteen open-source tools (LightSIDE-AthDGC for PROIEL syntactic</w:t>
      </w:r>
      <w:r>
        <w:t xml:space="preserve"> </w:t>
      </w:r>
      <w:r>
        <w:t xml:space="preserve">features, LightSIDE-compatible text-feature export, NoSketch-style concordancer,</w:t>
      </w:r>
      <w:r>
        <w:t xml:space="preserve"> </w:t>
      </w:r>
      <w:r>
        <w:t xml:space="preserve">fine-tuned diachronic Stanza checkpoints, PROIEL XML 2.0 exporter, corpus-fix toolkit,</w:t>
      </w:r>
      <w:r>
        <w:t xml:space="preserve"> </w:t>
      </w:r>
      <w:r>
        <w:t xml:space="preserve">argument-structure extractor, cross-lingual Neo4j alignment viewer, showcase generator,</w:t>
      </w:r>
      <w:r>
        <w:t xml:space="preserve"> </w:t>
      </w:r>
      <w:r>
        <w:t xml:space="preserve">v0.5 PROIEL XML 2.0 validator, v0.5 valency-frame database client, v0.5</w:t>
      </w:r>
      <w:r>
        <w:t xml:space="preserve"> </w:t>
      </w:r>
      <w:r>
        <w:t xml:space="preserve">retranslation-pair browser, v0.5 retelling-chain explorer, and the Quarto template pack)</w:t>
      </w:r>
      <w:r>
        <w:t xml:space="preserve"> </w:t>
      </w:r>
      <w:r>
        <w:t xml:space="preserve">are released and usable now per §3.4. See</w:t>
      </w:r>
      <w:r>
        <w:t xml:space="preserve"> </w:t>
      </w:r>
      <w:hyperlink r:id="rId32">
        <w:r>
          <w:rPr>
            <w:rStyle w:val="Hyperlink"/>
          </w:rPr>
          <w:t xml:space="preserve">https://athdgc.github.io/tools.html</w:t>
        </w:r>
      </w:hyperlink>
      <w:r>
        <w:t xml:space="preserve">.</w:t>
      </w:r>
    </w:p>
    <w:bookmarkEnd w:id="33"/>
    <w:bookmarkStart w:id="34" w:name="acknowledgements"/>
    <w:p>
      <w:pPr>
        <w:pStyle w:val="Heading2"/>
      </w:pPr>
      <w:r>
        <w:t xml:space="preserve">6. Acknowledgements</w:t>
      </w:r>
    </w:p>
    <w:p>
      <w:pPr>
        <w:pStyle w:val="FirstParagraph"/>
      </w:pPr>
      <w:r>
        <w:t xml:space="preserve">Funded by the</w:t>
      </w:r>
      <w:r>
        <w:t xml:space="preserve"> </w:t>
      </w:r>
      <w:r>
        <w:rPr>
          <w:b/>
          <w:bCs/>
        </w:rPr>
        <w:t xml:space="preserve">Hellenic Foundation for Research and Innovation (HFRI)</w:t>
      </w:r>
      <w:r>
        <w:t xml:space="preserve"> </w:t>
      </w:r>
      <w:r>
        <w:t xml:space="preserve">under the 3rd Call</w:t>
      </w:r>
      <w:r>
        <w:t xml:space="preserve"> </w:t>
      </w:r>
      <w:r>
        <w:t xml:space="preserve">for HFRI Research Projects to support Post-Doctoral Researchers,</w:t>
      </w:r>
      <w:r>
        <w:t xml:space="preserve"> </w:t>
      </w:r>
      <w:r>
        <w:rPr>
          <w:b/>
          <w:bCs/>
        </w:rPr>
        <w:t xml:space="preserve">Project No. 20577</w:t>
      </w:r>
      <w:r>
        <w:t xml:space="preserve">;</w:t>
      </w:r>
      <w:r>
        <w:t xml:space="preserve"> </w:t>
      </w:r>
      <w:r>
        <w:t xml:space="preserve">with complementary support from the</w:t>
      </w:r>
      <w:r>
        <w:t xml:space="preserve"> </w:t>
      </w:r>
      <w:r>
        <w:rPr>
          <w:b/>
          <w:bCs/>
        </w:rPr>
        <w:t xml:space="preserve">Greece 2.0 National Recovery and Resilience Plan</w:t>
      </w:r>
      <w:r>
        <w:t xml:space="preserve">.</w:t>
      </w:r>
      <w:r>
        <w:t xml:space="preserve"> </w:t>
      </w:r>
      <w:r>
        <w:t xml:space="preserve">Compute supplied by</w:t>
      </w:r>
      <w:r>
        <w:t xml:space="preserve"> </w:t>
      </w:r>
      <w:r>
        <w:rPr>
          <w:b/>
          <w:bCs/>
        </w:rPr>
        <w:t xml:space="preserve">GRNET ARIS</w:t>
      </w:r>
      <w:r>
        <w:t xml:space="preserve"> </w:t>
      </w:r>
      <w:r>
        <w:t xml:space="preserve">(Greek national HPC), allocation</w:t>
      </w:r>
      <w:r>
        <w:t xml:space="preserve"> </w:t>
      </w:r>
      <w:r>
        <w:rPr>
          <w:rStyle w:val="VerbatimChar"/>
        </w:rPr>
        <w:t xml:space="preserve">pa260305</w:t>
      </w:r>
      <w:r>
        <w:t xml:space="preserve">.</w:t>
      </w:r>
    </w:p>
    <w:p>
      <w:pPr>
        <w:pStyle w:val="BodyText"/>
      </w:pPr>
      <w:r>
        <w:t xml:space="preserve">Funded project:</w:t>
      </w:r>
      <w:r>
        <w:t xml:space="preserve"> </w:t>
      </w:r>
      <w:r>
        <w:rPr>
          <w:b/>
          <w:bCs/>
        </w:rPr>
        <w:t xml:space="preserve">CVL-CDSAML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A Corpus-based Valency Lexicon for a Contrastive and</w:t>
      </w:r>
      <w:r>
        <w:rPr>
          <w:i/>
          <w:iCs/>
        </w:rPr>
        <w:t xml:space="preserve"> </w:t>
      </w:r>
      <w:r>
        <w:rPr>
          <w:i/>
          <w:iCs/>
        </w:rPr>
        <w:t xml:space="preserve">Diachronic Study of Ancient and Medieval Languages</w:t>
      </w:r>
      <w:r>
        <w:t xml:space="preserve">.</w:t>
      </w:r>
    </w:p>
    <w:p>
      <w:pPr>
        <w:pStyle w:val="BodyText"/>
      </w:pPr>
      <w:r>
        <w:t xml:space="preserve">Team: Prof. Nikolaos Lavidas (PI, NKUA), Prof. Emerita Kiki Nikiforidou (NKUA;</w:t>
      </w:r>
      <w:r>
        <w:t xml:space="preserve"> </w:t>
      </w:r>
      <w:r>
        <w:t xml:space="preserve">Co-Editor,</w:t>
      </w:r>
      <w:r>
        <w:t xml:space="preserve"> </w:t>
      </w:r>
      <w:r>
        <w:rPr>
          <w:i/>
          <w:iCs/>
        </w:rPr>
        <w:t xml:space="preserve">Genres and Influential Texts</w:t>
      </w:r>
      <w:r>
        <w:t xml:space="preserve"> </w:t>
      </w:r>
      <w:r>
        <w:t xml:space="preserve">volume), Prof. Dag Haug (Oslo, PROIEL Project</w:t>
      </w:r>
      <w:r>
        <w:t xml:space="preserve"> </w:t>
      </w:r>
      <w:r>
        <w:t xml:space="preserve">Director), Prof. Leonid Kulikov (Ghent; Diachronic typology, valency questionnaires),</w:t>
      </w:r>
      <w:r>
        <w:t xml:space="preserve"> </w:t>
      </w:r>
      <w:r>
        <w:t xml:space="preserve">Dr. Vassiliki Geka (NKUA; Post-Doctoral Researcher; Co-Editor,</w:t>
      </w:r>
      <w:r>
        <w:t xml:space="preserve"> </w:t>
      </w:r>
      <w:r>
        <w:rPr>
          <w:i/>
          <w:iCs/>
        </w:rPr>
        <w:t xml:space="preserve">Genres and Influential</w:t>
      </w:r>
      <w:r>
        <w:rPr>
          <w:i/>
          <w:iCs/>
        </w:rPr>
        <w:t xml:space="preserve"> </w:t>
      </w:r>
      <w:r>
        <w:rPr>
          <w:i/>
          <w:iCs/>
        </w:rPr>
        <w:t xml:space="preserve">Texts</w:t>
      </w:r>
      <w:r>
        <w:t xml:space="preserve"> </w:t>
      </w:r>
      <w:r>
        <w:t xml:space="preserve">volume), Dr. Vassileios Symeonidis (NKUA; Post-Doctoral Researcher),</w:t>
      </w:r>
      <w:r>
        <w:t xml:space="preserve"> </w:t>
      </w:r>
      <w:r>
        <w:t xml:space="preserve">Dr. Theodoros Michalareas (NKUA; Post-Doctoral Researcher), Sofia Chionidi (NKUA;</w:t>
      </w:r>
      <w:r>
        <w:t xml:space="preserve"> </w:t>
      </w:r>
      <w:r>
        <w:t xml:space="preserve">PhD Candidate), Anastasia Tsiropina (NKUA; PhD Candidate), Eleni Plakoutsi (NKUA;</w:t>
      </w:r>
      <w:r>
        <w:t xml:space="preserve"> </w:t>
      </w:r>
      <w:r>
        <w:t xml:space="preserve">PhD Candidate), Evangelos Argyropoulos (NKUA; Research Assistant); and the Athens</w:t>
      </w:r>
      <w:r>
        <w:t xml:space="preserve"> </w:t>
      </w:r>
      <w:r>
        <w:t xml:space="preserve">Digital Glossa Chronos Research Network as collective author.</w:t>
      </w:r>
    </w:p>
    <w:bookmarkEnd w:id="34"/>
    <w:bookmarkStart w:id="42" w:name="references"/>
    <w:p>
      <w:pPr>
        <w:pStyle w:val="Heading2"/>
      </w:pPr>
      <w:r>
        <w:t xml:space="preserve">References</w:t>
      </w:r>
    </w:p>
    <w:bookmarkStart w:id="41" w:name="refs"/>
    <w:bookmarkStart w:id="35" w:name="ref-dou2021"/>
    <w:p>
      <w:pPr>
        <w:pStyle w:val="Bibliography"/>
      </w:pPr>
      <w:r>
        <w:t xml:space="preserve">Dou, Zi-Yi, and Graham Neubig. 2021.</w:t>
      </w:r>
      <w:r>
        <w:t xml:space="preserve"> </w:t>
      </w:r>
      <w:r>
        <w:t xml:space="preserve">“Word Alignment by Fine-Tuning Embeddings on Parallel Corpora.”</w:t>
      </w:r>
      <w:r>
        <w:t xml:space="preserve"> </w:t>
      </w:r>
      <w:r>
        <w:rPr>
          <w:i/>
          <w:iCs/>
        </w:rPr>
        <w:t xml:space="preserve">Proceedings of EACL 2021</w:t>
      </w:r>
      <w:r>
        <w:t xml:space="preserve">.</w:t>
      </w:r>
    </w:p>
    <w:bookmarkEnd w:id="35"/>
    <w:bookmarkStart w:id="36" w:name="ref-eckhoff2018"/>
    <w:p>
      <w:pPr>
        <w:pStyle w:val="Bibliography"/>
      </w:pPr>
      <w:r>
        <w:t xml:space="preserve">Eckhoff, Hanne M., Kristin Bech, Gerlof Bouma, et al. 2018.</w:t>
      </w:r>
      <w:r>
        <w:t xml:space="preserve"> </w:t>
      </w:r>
      <w:r>
        <w:t xml:space="preserve">“The</w:t>
      </w:r>
      <w:r>
        <w:t xml:space="preserve"> </w:t>
      </w:r>
      <w:r>
        <w:t xml:space="preserve">PROIEL</w:t>
      </w:r>
      <w:r>
        <w:t xml:space="preserve"> </w:t>
      </w:r>
      <w:r>
        <w:t xml:space="preserve">Treebank Family: A Standard for Early Attestations of</w:t>
      </w:r>
      <w:r>
        <w:t xml:space="preserve"> </w:t>
      </w:r>
      <w:r>
        <w:t xml:space="preserve">Indo-European</w:t>
      </w:r>
      <w:r>
        <w:t xml:space="preserve"> </w:t>
      </w:r>
      <w:r>
        <w:t xml:space="preserve">Languages.”</w:t>
      </w:r>
      <w:r>
        <w:t xml:space="preserve"> </w:t>
      </w:r>
      <w:r>
        <w:rPr>
          <w:i/>
          <w:iCs/>
        </w:rPr>
        <w:t xml:space="preserve">Language Resources and Evaluation</w:t>
      </w:r>
      <w:r>
        <w:t xml:space="preserve"> </w:t>
      </w:r>
      <w:r>
        <w:t xml:space="preserve">52 (1): 29–65.</w:t>
      </w:r>
    </w:p>
    <w:bookmarkEnd w:id="36"/>
    <w:bookmarkStart w:id="37" w:name="ref-feng2022"/>
    <w:p>
      <w:pPr>
        <w:pStyle w:val="Bibliography"/>
      </w:pPr>
      <w:r>
        <w:t xml:space="preserve">Feng, Fangxiaoyu, Yinfei Yang, Daniel Cer, Naveen Arivazhagan, and Wei Wang. 2022.</w:t>
      </w:r>
      <w:r>
        <w:t xml:space="preserve"> </w:t>
      </w:r>
      <w:r>
        <w:t xml:space="preserve">“Language-Agnostic</w:t>
      </w:r>
      <w:r>
        <w:t xml:space="preserve"> </w:t>
      </w:r>
      <w:r>
        <w:t xml:space="preserve">BERT</w:t>
      </w:r>
      <w:r>
        <w:t xml:space="preserve"> </w:t>
      </w:r>
      <w:r>
        <w:t xml:space="preserve">Sentence Embedding.”</w:t>
      </w:r>
      <w:r>
        <w:t xml:space="preserve"> </w:t>
      </w:r>
      <w:r>
        <w:rPr>
          <w:i/>
          <w:iCs/>
        </w:rPr>
        <w:t xml:space="preserve">Proceedings of ACL 2022</w:t>
      </w:r>
      <w:r>
        <w:t xml:space="preserve">.</w:t>
      </w:r>
    </w:p>
    <w:bookmarkEnd w:id="37"/>
    <w:bookmarkStart w:id="38" w:name="ref-haug2008"/>
    <w:p>
      <w:pPr>
        <w:pStyle w:val="Bibliography"/>
      </w:pPr>
      <w:r>
        <w:t xml:space="preserve">Haug, Dag T. T., and Marius Jøhndal. 2008.</w:t>
      </w:r>
      <w:r>
        <w:t xml:space="preserve"> </w:t>
      </w:r>
      <w:r>
        <w:t xml:space="preserve">“Creating a Parallel Treebank of the Old</w:t>
      </w:r>
      <w:r>
        <w:t xml:space="preserve"> </w:t>
      </w:r>
      <w:r>
        <w:t xml:space="preserve">Indo-European</w:t>
      </w:r>
      <w:r>
        <w:t xml:space="preserve"> </w:t>
      </w:r>
      <w:r>
        <w:t xml:space="preserve">Bible</w:t>
      </w:r>
      <w:r>
        <w:t xml:space="preserve"> </w:t>
      </w:r>
      <w:r>
        <w:t xml:space="preserve">Translations.”</w:t>
      </w:r>
      <w:r>
        <w:t xml:space="preserve"> </w:t>
      </w:r>
      <w:r>
        <w:rPr>
          <w:i/>
          <w:iCs/>
        </w:rPr>
        <w:t xml:space="preserve">Proceedings of the Second Workshop on Language Technology for Cultural Heritage Data (LaTeCH 2008)</w:t>
      </w:r>
      <w:r>
        <w:t xml:space="preserve">.</w:t>
      </w:r>
    </w:p>
    <w:bookmarkEnd w:id="38"/>
    <w:bookmarkStart w:id="39" w:name="ref-list2014"/>
    <w:p>
      <w:pPr>
        <w:pStyle w:val="Bibliography"/>
      </w:pPr>
      <w:r>
        <w:t xml:space="preserve">List, Johann-Mattis. 2014.</w:t>
      </w:r>
      <w:r>
        <w:t xml:space="preserve"> </w:t>
      </w:r>
      <w:r>
        <w:rPr>
          <w:i/>
          <w:iCs/>
        </w:rPr>
        <w:t xml:space="preserve">Sequence Comparison in Historical Linguistics</w:t>
      </w:r>
      <w:r>
        <w:t xml:space="preserve">. D</w:t>
      </w:r>
      <w:r>
        <w:t xml:space="preserve">ü</w:t>
      </w:r>
      <w:r>
        <w:t xml:space="preserve">sseldorf University Press.</w:t>
      </w:r>
    </w:p>
    <w:bookmarkEnd w:id="39"/>
    <w:bookmarkStart w:id="40" w:name="ref-qi2020"/>
    <w:p>
      <w:pPr>
        <w:pStyle w:val="Bibliography"/>
      </w:pPr>
      <w:r>
        <w:t xml:space="preserve">Qi, Peng, Yuhao Zhang, Yuhui Zhang, Jason Bolton, and Christopher D. Manning. 2020.</w:t>
      </w:r>
      <w:r>
        <w:t xml:space="preserve"> </w:t>
      </w:r>
      <w:r>
        <w:t xml:space="preserve">“</w:t>
      </w:r>
      <w:r>
        <w:t xml:space="preserve">Stanza</w:t>
      </w:r>
      <w:r>
        <w:t xml:space="preserve">: A</w:t>
      </w:r>
      <w:r>
        <w:t xml:space="preserve"> </w:t>
      </w:r>
      <w:r>
        <w:t xml:space="preserve">Python</w:t>
      </w:r>
      <w:r>
        <w:t xml:space="preserve"> </w:t>
      </w:r>
      <w:r>
        <w:t xml:space="preserve">Natural Language Processing Toolkit for Many Human Languages.”</w:t>
      </w:r>
      <w:r>
        <w:t xml:space="preserve"> </w:t>
      </w:r>
      <w:r>
        <w:rPr>
          <w:i/>
          <w:iCs/>
        </w:rPr>
        <w:t xml:space="preserve">Proceedings of ACL 2020</w:t>
      </w:r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1" Target="https://athdgc.github.io" TargetMode="External" /><Relationship Type="http://schemas.openxmlformats.org/officeDocument/2006/relationships/hyperlink" Id="rId32" Target="https://athdgc.github.io/tools.html" TargetMode="External" /><Relationship Type="http://schemas.openxmlformats.org/officeDocument/2006/relationships/hyperlink" Id="rId30" Target="https://athdgc.github.io/training.html" TargetMode="External" /><Relationship Type="http://schemas.openxmlformats.org/officeDocument/2006/relationships/hyperlink" Id="rId12" Target="https://doi.org/10.5281/zenodo.20439182" TargetMode="External" /><Relationship Type="http://schemas.openxmlformats.org/officeDocument/2006/relationships/hyperlink" Id="rId10" Target="https://github.com/AthDGC/Diachronic-Linguistics-Platfor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1" Target="https://athdgc.github.io" TargetMode="External" /><Relationship Type="http://schemas.openxmlformats.org/officeDocument/2006/relationships/hyperlink" Id="rId32" Target="https://athdgc.github.io/tools.html" TargetMode="External" /><Relationship Type="http://schemas.openxmlformats.org/officeDocument/2006/relationships/hyperlink" Id="rId30" Target="https://athdgc.github.io/training.html" TargetMode="External" /><Relationship Type="http://schemas.openxmlformats.org/officeDocument/2006/relationships/hyperlink" Id="rId12" Target="https://doi.org/10.5281/zenodo.20439182" TargetMode="External" /><Relationship Type="http://schemas.openxmlformats.org/officeDocument/2006/relationships/hyperlink" Id="rId10" Target="https://github.com/AthDGC/Diachronic-Linguistics-Platfor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AthDGC: An Open Diachronic Greek Treebank with Indo-European Parallels</dc:title>
  <dc:creator>Nikolaos Lavidas</dc:creator>
  <cp:keywords>diachronic linguistics, ancient Greek, Byzantine Greek, Modern Greek, Indo-European, PROIEL, dependency treebank, cross-lingual alignment, argument structure, retranslation</cp:keywords>
  <dcterms:created xsi:type="dcterms:W3CDTF">2026-06-03T19:45:35Z</dcterms:created>
  <dcterms:modified xsi:type="dcterms:W3CDTF">2026-06-03T19:45:35Z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AthDGC (“Athens-PROIEL”) is an open, end-to-end pipeline and dataset that provides the first continuously updated, dependency-parsed treebank of the entire Greek language - from Homeric and Archaic texts to Modern Greek - with cross-lingual alignment to Latin (Vulgate), Gothic (Wulfila), Old Church Slavonic (Marianus), and Classical Armenian via the verse-level cross-alignment of the New Testament. AthDGC follows the PROIEL XML 2.0 schema, uses the Stanford Stanza PROIEL-trained pipeline for annotation, and applies LaBSE sentence embeddings and multilingual-BERT attention for word-level alignment. As of v0.4, the corpus contains 89.9M total rows, 4.08M annotated Greek rows, and 6,861 NT-aligned Greek verses cross-aligned to four sister IE witnesses.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engines">
    <vt:lpwstr/>
  </property>
  <property fmtid="{D5CDD505-2E9C-101B-9397-08002B2CF9AE}" pid="10" name="funding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subtitle">
    <vt:lpwstr>Platform launch report - GlossaContactLab Working Papers, NKUA digital edition</vt:lpwstr>
  </property>
  <property fmtid="{D5CDD505-2E9C-101B-9397-08002B2CF9AE}" pid="16" name="toc-title">
    <vt:lpwstr>Table of contents</vt:lpwstr>
  </property>
</Properties>
</file>